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DBC8" w14:textId="273DBA2C" w:rsidR="00C76FC3" w:rsidRPr="000209A5" w:rsidRDefault="00690460" w:rsidP="00C76FC3">
      <w:pPr>
        <w:rPr>
          <w:rFonts w:ascii="Carlito" w:eastAsia="Carlito" w:hAnsi="Carlito" w:cs="Carlito"/>
          <w:b/>
          <w:bCs/>
          <w:sz w:val="20"/>
          <w:szCs w:val="20"/>
        </w:rPr>
      </w:pPr>
      <w:r>
        <w:rPr>
          <w:rFonts w:ascii="Carlito" w:eastAsia="Carlito" w:hAnsi="Carlito" w:cs="Carlito"/>
          <w:b/>
          <w:bCs/>
          <w:sz w:val="20"/>
          <w:szCs w:val="20"/>
        </w:rPr>
        <w:t xml:space="preserve">PLUVICTO </w:t>
      </w:r>
      <w:r w:rsidR="00C76FC3" w:rsidRPr="000209A5">
        <w:rPr>
          <w:rFonts w:ascii="Carlito" w:eastAsia="Carlito" w:hAnsi="Carlito" w:cs="Carlito"/>
          <w:b/>
          <w:bCs/>
          <w:sz w:val="20"/>
          <w:szCs w:val="20"/>
        </w:rPr>
        <w:t>Sample Letter of Medical Necessity</w:t>
      </w:r>
      <w:r w:rsidR="00497E87">
        <w:rPr>
          <w:rFonts w:ascii="Carlito" w:eastAsia="Carlito" w:hAnsi="Carlito" w:cs="Carlito"/>
          <w:b/>
          <w:bCs/>
          <w:sz w:val="20"/>
          <w:szCs w:val="20"/>
        </w:rPr>
        <w:t>/Exception</w:t>
      </w:r>
    </w:p>
    <w:p w14:paraId="66CB9A46" w14:textId="77777777" w:rsidR="00C76FC3" w:rsidRPr="000209A5" w:rsidRDefault="00C76FC3" w:rsidP="00C76FC3">
      <w:pPr>
        <w:rPr>
          <w:sz w:val="20"/>
          <w:szCs w:val="20"/>
        </w:rPr>
      </w:pPr>
    </w:p>
    <w:p w14:paraId="360C00C2" w14:textId="77777777" w:rsidR="00497E87" w:rsidRDefault="00497E87" w:rsidP="00C76FC3">
      <w:pPr>
        <w:rPr>
          <w:rFonts w:ascii="Carlito" w:eastAsia="Carlito" w:hAnsi="Carlito" w:cs="Carlito"/>
          <w:i/>
          <w:sz w:val="20"/>
          <w:szCs w:val="20"/>
        </w:rPr>
      </w:pPr>
      <w:r w:rsidRPr="00497E87">
        <w:rPr>
          <w:rFonts w:ascii="Carlito" w:eastAsia="Carlito" w:hAnsi="Carlito" w:cs="Carlito"/>
          <w:i/>
          <w:sz w:val="20"/>
          <w:szCs w:val="20"/>
        </w:rPr>
        <w:t>Note to physician: this template may be used to help create one of t</w:t>
      </w:r>
      <w:r>
        <w:rPr>
          <w:rFonts w:ascii="Carlito" w:eastAsia="Carlito" w:hAnsi="Carlito" w:cs="Carlito"/>
          <w:i/>
          <w:sz w:val="20"/>
          <w:szCs w:val="20"/>
        </w:rPr>
        <w:t>h</w:t>
      </w:r>
      <w:r w:rsidRPr="00497E87">
        <w:rPr>
          <w:rFonts w:ascii="Carlito" w:eastAsia="Carlito" w:hAnsi="Carlito" w:cs="Carlito"/>
          <w:i/>
          <w:sz w:val="20"/>
          <w:szCs w:val="20"/>
        </w:rPr>
        <w:t xml:space="preserve">e following resources: </w:t>
      </w:r>
    </w:p>
    <w:p w14:paraId="79A020F2" w14:textId="0CE6896C" w:rsidR="00497E87" w:rsidRPr="00497E87" w:rsidRDefault="00497E87" w:rsidP="00497E87">
      <w:pPr>
        <w:pStyle w:val="ListParagraph"/>
        <w:numPr>
          <w:ilvl w:val="0"/>
          <w:numId w:val="6"/>
        </w:numPr>
        <w:rPr>
          <w:rFonts w:ascii="Carlito" w:eastAsia="Carlito" w:hAnsi="Carlito" w:cs="Carlito"/>
          <w:i/>
          <w:sz w:val="20"/>
          <w:szCs w:val="20"/>
        </w:rPr>
      </w:pPr>
      <w:r w:rsidRPr="00497E87">
        <w:rPr>
          <w:rFonts w:ascii="Carlito" w:eastAsia="Carlito" w:hAnsi="Carlito" w:cs="Carlito"/>
          <w:b/>
          <w:bCs/>
          <w:i/>
          <w:sz w:val="20"/>
          <w:szCs w:val="20"/>
        </w:rPr>
        <w:t>A letter of medical necessity</w:t>
      </w:r>
      <w:r>
        <w:rPr>
          <w:rFonts w:ascii="Carlito" w:eastAsia="Carlito" w:hAnsi="Carlito" w:cs="Carlito"/>
          <w:b/>
          <w:bCs/>
          <w:i/>
          <w:sz w:val="20"/>
          <w:szCs w:val="20"/>
        </w:rPr>
        <w:t>:</w:t>
      </w:r>
      <w:r w:rsidRPr="00497E87">
        <w:rPr>
          <w:rFonts w:ascii="Carlito" w:eastAsia="Carlito" w:hAnsi="Carlito" w:cs="Carlito"/>
          <w:i/>
          <w:sz w:val="20"/>
          <w:szCs w:val="20"/>
        </w:rPr>
        <w:t xml:space="preserve"> May be used to support a</w:t>
      </w:r>
      <w:r>
        <w:rPr>
          <w:rFonts w:ascii="Carlito" w:eastAsia="Carlito" w:hAnsi="Carlito" w:cs="Carlito"/>
          <w:i/>
          <w:sz w:val="20"/>
          <w:szCs w:val="20"/>
        </w:rPr>
        <w:t xml:space="preserve"> </w:t>
      </w:r>
      <w:r w:rsidRPr="00497E87">
        <w:rPr>
          <w:rFonts w:ascii="Carlito" w:eastAsia="Carlito" w:hAnsi="Carlito" w:cs="Carlito"/>
          <w:i/>
          <w:sz w:val="20"/>
          <w:szCs w:val="20"/>
        </w:rPr>
        <w:t>prior authorization request. This letter explains why a</w:t>
      </w:r>
      <w:r>
        <w:rPr>
          <w:rFonts w:ascii="Carlito" w:eastAsia="Carlito" w:hAnsi="Carlito" w:cs="Carlito"/>
          <w:i/>
          <w:sz w:val="20"/>
          <w:szCs w:val="20"/>
        </w:rPr>
        <w:t xml:space="preserve"> </w:t>
      </w:r>
      <w:r w:rsidRPr="00497E87">
        <w:rPr>
          <w:rFonts w:ascii="Carlito" w:eastAsia="Carlito" w:hAnsi="Carlito" w:cs="Carlito"/>
          <w:i/>
          <w:sz w:val="20"/>
          <w:szCs w:val="20"/>
        </w:rPr>
        <w:t>specific treatment is essential for a patient. It serves as</w:t>
      </w:r>
      <w:r>
        <w:rPr>
          <w:rFonts w:ascii="Carlito" w:eastAsia="Carlito" w:hAnsi="Carlito" w:cs="Carlito"/>
          <w:i/>
          <w:sz w:val="20"/>
          <w:szCs w:val="20"/>
        </w:rPr>
        <w:t xml:space="preserve"> </w:t>
      </w:r>
      <w:r w:rsidRPr="00497E87">
        <w:rPr>
          <w:rFonts w:ascii="Carlito" w:eastAsia="Carlito" w:hAnsi="Carlito" w:cs="Carlito"/>
          <w:i/>
          <w:sz w:val="20"/>
          <w:szCs w:val="20"/>
        </w:rPr>
        <w:t>proof that a drug is treating a diagnosed medical</w:t>
      </w:r>
      <w:r>
        <w:rPr>
          <w:rFonts w:ascii="Carlito" w:eastAsia="Carlito" w:hAnsi="Carlito" w:cs="Carlito"/>
          <w:i/>
          <w:sz w:val="20"/>
          <w:szCs w:val="20"/>
        </w:rPr>
        <w:t xml:space="preserve"> </w:t>
      </w:r>
      <w:r w:rsidRPr="00497E87">
        <w:rPr>
          <w:rFonts w:ascii="Carlito" w:eastAsia="Carlito" w:hAnsi="Carlito" w:cs="Carlito"/>
          <w:i/>
          <w:sz w:val="20"/>
          <w:szCs w:val="20"/>
        </w:rPr>
        <w:t>condition rather than being used based on an HCP’s</w:t>
      </w:r>
      <w:r>
        <w:rPr>
          <w:rFonts w:ascii="Carlito" w:eastAsia="Carlito" w:hAnsi="Carlito" w:cs="Carlito"/>
          <w:i/>
          <w:sz w:val="20"/>
          <w:szCs w:val="20"/>
        </w:rPr>
        <w:t xml:space="preserve"> </w:t>
      </w:r>
      <w:r w:rsidRPr="00497E87">
        <w:rPr>
          <w:rFonts w:ascii="Carlito" w:eastAsia="Carlito" w:hAnsi="Carlito" w:cs="Carlito"/>
          <w:i/>
          <w:sz w:val="20"/>
          <w:szCs w:val="20"/>
        </w:rPr>
        <w:t>personal preferenc</w:t>
      </w:r>
      <w:r>
        <w:rPr>
          <w:rFonts w:ascii="Carlito" w:eastAsia="Carlito" w:hAnsi="Carlito" w:cs="Carlito"/>
          <w:i/>
          <w:sz w:val="20"/>
          <w:szCs w:val="20"/>
        </w:rPr>
        <w:t xml:space="preserve">e. </w:t>
      </w:r>
    </w:p>
    <w:p w14:paraId="594D5EE4" w14:textId="0E30AB30" w:rsidR="00497E87" w:rsidRPr="00497E87" w:rsidRDefault="00497E87" w:rsidP="00497E87">
      <w:pPr>
        <w:pStyle w:val="ListParagraph"/>
        <w:numPr>
          <w:ilvl w:val="0"/>
          <w:numId w:val="6"/>
        </w:numPr>
        <w:rPr>
          <w:rFonts w:ascii="Carlito" w:eastAsia="Carlito" w:hAnsi="Carlito" w:cs="Carlito"/>
          <w:i/>
          <w:sz w:val="20"/>
          <w:szCs w:val="20"/>
        </w:rPr>
      </w:pPr>
      <w:r w:rsidRPr="00497E87">
        <w:rPr>
          <w:rFonts w:ascii="Carlito" w:eastAsia="Carlito" w:hAnsi="Carlito" w:cs="Carlito"/>
          <w:b/>
          <w:bCs/>
          <w:i/>
          <w:sz w:val="20"/>
          <w:szCs w:val="20"/>
        </w:rPr>
        <w:t>A letter of medical exception</w:t>
      </w:r>
      <w:r>
        <w:rPr>
          <w:rFonts w:ascii="Carlito" w:eastAsia="Carlito" w:hAnsi="Carlito" w:cs="Carlito"/>
          <w:b/>
          <w:bCs/>
          <w:i/>
          <w:sz w:val="20"/>
          <w:szCs w:val="20"/>
        </w:rPr>
        <w:t>:</w:t>
      </w:r>
      <w:r w:rsidRPr="00497E87">
        <w:rPr>
          <w:rFonts w:ascii="Carlito" w:eastAsia="Carlito" w:hAnsi="Carlito" w:cs="Carlito"/>
          <w:i/>
          <w:sz w:val="20"/>
          <w:szCs w:val="20"/>
        </w:rPr>
        <w:t xml:space="preserve"> </w:t>
      </w:r>
      <w:r>
        <w:rPr>
          <w:rFonts w:ascii="Carlito" w:eastAsia="Carlito" w:hAnsi="Carlito" w:cs="Carlito"/>
          <w:i/>
          <w:sz w:val="20"/>
          <w:szCs w:val="20"/>
        </w:rPr>
        <w:t xml:space="preserve">To be leveraged when a health plan does not cover or does not have a published coverage policy for PLUVICTO or any of its indications. </w:t>
      </w:r>
    </w:p>
    <w:p w14:paraId="76C0E163" w14:textId="77777777" w:rsidR="00497E87" w:rsidRDefault="00497E87" w:rsidP="00C76FC3">
      <w:pPr>
        <w:rPr>
          <w:rFonts w:ascii="Carlito" w:eastAsia="Carlito" w:hAnsi="Carlito" w:cs="Carlito"/>
          <w:i/>
          <w:sz w:val="20"/>
          <w:szCs w:val="20"/>
        </w:rPr>
      </w:pPr>
    </w:p>
    <w:p w14:paraId="2165AB0B" w14:textId="061BE22F" w:rsidR="00C76FC3" w:rsidRPr="000209A5" w:rsidRDefault="00C76FC3" w:rsidP="00C76FC3">
      <w:pPr>
        <w:rPr>
          <w:rFonts w:ascii="Carlito" w:eastAsia="Carlito" w:hAnsi="Carlito" w:cs="Carlito"/>
          <w:i/>
          <w:sz w:val="20"/>
          <w:szCs w:val="20"/>
        </w:rPr>
      </w:pPr>
      <w:r w:rsidRPr="000209A5">
        <w:rPr>
          <w:rFonts w:ascii="Carlito" w:eastAsia="Carlito" w:hAnsi="Carlito" w:cs="Carlito"/>
          <w:i/>
          <w:sz w:val="20"/>
          <w:szCs w:val="20"/>
        </w:rPr>
        <w:t xml:space="preserve">All </w:t>
      </w:r>
      <w:r w:rsidRPr="000209A5">
        <w:rPr>
          <w:rFonts w:ascii="Carlito" w:eastAsia="Carlito" w:hAnsi="Carlito" w:cs="Carlito"/>
          <w:i/>
          <w:color w:val="FF3399"/>
          <w:sz w:val="20"/>
          <w:szCs w:val="20"/>
        </w:rPr>
        <w:t>pink</w:t>
      </w:r>
      <w:r w:rsidRPr="000209A5">
        <w:rPr>
          <w:rFonts w:ascii="Carlito" w:eastAsia="Carlito" w:hAnsi="Carlito" w:cs="Carlito"/>
          <w:i/>
          <w:sz w:val="20"/>
          <w:szCs w:val="20"/>
        </w:rPr>
        <w:t xml:space="preserve">, bracketed content needs to be filled out based on the details of each specific </w:t>
      </w:r>
      <w:r w:rsidR="000209A5" w:rsidRPr="000209A5">
        <w:rPr>
          <w:rFonts w:ascii="Carlito" w:eastAsia="Carlito" w:hAnsi="Carlito" w:cs="Carlito"/>
          <w:i/>
          <w:sz w:val="20"/>
          <w:szCs w:val="20"/>
        </w:rPr>
        <w:t>patient</w:t>
      </w:r>
      <w:r w:rsidRPr="000209A5">
        <w:rPr>
          <w:rFonts w:ascii="Carlito" w:eastAsia="Carlito" w:hAnsi="Carlito" w:cs="Carlito"/>
          <w:i/>
          <w:sz w:val="20"/>
          <w:szCs w:val="20"/>
        </w:rPr>
        <w:t>. Be sure to review and understand specific health plan requirements for your patient. It is also important to understand each plan's submission process (online vs fax).</w:t>
      </w:r>
    </w:p>
    <w:p w14:paraId="087E46D1" w14:textId="51CAC125" w:rsidR="00C76FC3" w:rsidRPr="000209A5" w:rsidRDefault="00C76FC3" w:rsidP="00E95740">
      <w:pPr>
        <w:pStyle w:val="BodyText"/>
        <w:spacing w:before="155"/>
        <w:ind w:left="0"/>
        <w:rPr>
          <w:color w:val="FF3399"/>
          <w:sz w:val="20"/>
          <w:szCs w:val="20"/>
        </w:rPr>
      </w:pPr>
      <w:r w:rsidRPr="000209A5">
        <w:rPr>
          <w:color w:val="FF3399"/>
          <w:sz w:val="20"/>
          <w:szCs w:val="20"/>
        </w:rPr>
        <w:t>[Date]</w:t>
      </w:r>
    </w:p>
    <w:p w14:paraId="23B070D0" w14:textId="7E2C7CF0" w:rsidR="00C76FC3" w:rsidRPr="000209A5" w:rsidRDefault="00C76FC3" w:rsidP="003D251C">
      <w:pPr>
        <w:pStyle w:val="BodyText"/>
        <w:ind w:left="0"/>
        <w:rPr>
          <w:color w:val="FF3399"/>
          <w:sz w:val="20"/>
          <w:szCs w:val="20"/>
        </w:rPr>
      </w:pPr>
      <w:r w:rsidRPr="000209A5">
        <w:rPr>
          <w:color w:val="FF3399"/>
          <w:sz w:val="20"/>
          <w:szCs w:val="20"/>
        </w:rPr>
        <w:t xml:space="preserve">[Health plan name] </w:t>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000209A5" w:rsidRPr="000209A5">
        <w:rPr>
          <w:color w:val="FF3399"/>
          <w:sz w:val="20"/>
          <w:szCs w:val="20"/>
        </w:rPr>
        <w:t xml:space="preserve">       </w:t>
      </w:r>
      <w:r w:rsidRPr="000209A5">
        <w:rPr>
          <w:color w:val="FF3399"/>
          <w:sz w:val="20"/>
          <w:szCs w:val="20"/>
        </w:rPr>
        <w:t xml:space="preserve">  </w:t>
      </w:r>
      <w:r w:rsidR="000209A5">
        <w:rPr>
          <w:color w:val="FF3399"/>
          <w:sz w:val="20"/>
          <w:szCs w:val="20"/>
        </w:rPr>
        <w:t xml:space="preserve"> </w:t>
      </w:r>
      <w:r w:rsidRPr="000209A5">
        <w:rPr>
          <w:color w:val="FF3399"/>
          <w:sz w:val="20"/>
          <w:szCs w:val="20"/>
        </w:rPr>
        <w:t xml:space="preserve">   </w:t>
      </w:r>
      <w:r w:rsidR="00A065FB" w:rsidRPr="000209A5">
        <w:rPr>
          <w:color w:val="FF3399"/>
          <w:sz w:val="20"/>
          <w:szCs w:val="20"/>
        </w:rPr>
        <w:t xml:space="preserve">    </w:t>
      </w:r>
      <w:r w:rsidRPr="000209A5">
        <w:rPr>
          <w:color w:val="FF3399"/>
          <w:sz w:val="20"/>
          <w:szCs w:val="20"/>
        </w:rPr>
        <w:t>[Patient’s Name]</w:t>
      </w:r>
    </w:p>
    <w:p w14:paraId="591618DA" w14:textId="7F095E7A" w:rsidR="00C76FC3" w:rsidRPr="000209A5" w:rsidRDefault="00C76FC3" w:rsidP="003D251C">
      <w:pPr>
        <w:pStyle w:val="BodyText"/>
        <w:ind w:left="0"/>
        <w:rPr>
          <w:color w:val="FF3399"/>
          <w:sz w:val="20"/>
          <w:szCs w:val="20"/>
        </w:rPr>
      </w:pPr>
      <w:r w:rsidRPr="000209A5">
        <w:rPr>
          <w:sz w:val="20"/>
          <w:szCs w:val="20"/>
        </w:rPr>
        <w:t>ATTN:</w:t>
      </w:r>
      <w:r w:rsidRPr="000209A5">
        <w:rPr>
          <w:color w:val="FF3399"/>
          <w:sz w:val="20"/>
          <w:szCs w:val="20"/>
        </w:rPr>
        <w:t xml:space="preserve"> [Department] </w:t>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t xml:space="preserve">   </w:t>
      </w:r>
      <w:r w:rsidR="00A065FB" w:rsidRPr="000209A5">
        <w:rPr>
          <w:color w:val="FF3399"/>
          <w:sz w:val="20"/>
          <w:szCs w:val="20"/>
        </w:rPr>
        <w:t xml:space="preserve">  </w:t>
      </w:r>
      <w:r w:rsidR="000209A5" w:rsidRPr="000209A5">
        <w:rPr>
          <w:color w:val="FF3399"/>
          <w:sz w:val="20"/>
          <w:szCs w:val="20"/>
        </w:rPr>
        <w:t xml:space="preserve">      </w:t>
      </w:r>
      <w:r w:rsidR="00A065FB" w:rsidRPr="000209A5">
        <w:rPr>
          <w:color w:val="FF3399"/>
          <w:sz w:val="20"/>
          <w:szCs w:val="20"/>
        </w:rPr>
        <w:t xml:space="preserve">   </w:t>
      </w:r>
      <w:r w:rsidR="006F7664" w:rsidRPr="000209A5">
        <w:rPr>
          <w:color w:val="FF3399"/>
          <w:sz w:val="20"/>
          <w:szCs w:val="20"/>
        </w:rPr>
        <w:t xml:space="preserve"> </w:t>
      </w:r>
      <w:r w:rsidR="00A065FB" w:rsidRPr="000209A5">
        <w:rPr>
          <w:color w:val="FF3399"/>
          <w:sz w:val="20"/>
          <w:szCs w:val="20"/>
        </w:rPr>
        <w:t xml:space="preserve"> </w:t>
      </w:r>
      <w:r w:rsidRPr="000209A5">
        <w:rPr>
          <w:color w:val="FF3399"/>
          <w:sz w:val="20"/>
          <w:szCs w:val="20"/>
        </w:rPr>
        <w:t>[Patient’s plan-specific member ID]</w:t>
      </w:r>
    </w:p>
    <w:p w14:paraId="65CB1AEC" w14:textId="0EDAE0E4" w:rsidR="00C76FC3" w:rsidRPr="000209A5" w:rsidRDefault="00C76FC3" w:rsidP="003D251C">
      <w:pPr>
        <w:pStyle w:val="BodyText"/>
        <w:ind w:left="0"/>
        <w:rPr>
          <w:color w:val="FF3399"/>
          <w:sz w:val="20"/>
          <w:szCs w:val="20"/>
        </w:rPr>
      </w:pPr>
      <w:r w:rsidRPr="000209A5">
        <w:rPr>
          <w:color w:val="FF3399"/>
          <w:sz w:val="20"/>
          <w:szCs w:val="20"/>
        </w:rPr>
        <w:t>[Medical/Pharmacy Director Name (if available)]</w:t>
      </w:r>
      <w:r w:rsidRPr="000209A5">
        <w:rPr>
          <w:color w:val="FF3399"/>
          <w:sz w:val="20"/>
          <w:szCs w:val="20"/>
        </w:rPr>
        <w:tab/>
      </w:r>
      <w:r w:rsidRPr="000209A5">
        <w:rPr>
          <w:color w:val="FF3399"/>
          <w:sz w:val="20"/>
          <w:szCs w:val="20"/>
        </w:rPr>
        <w:tab/>
      </w:r>
      <w:r w:rsidRPr="000209A5">
        <w:rPr>
          <w:color w:val="FF3399"/>
          <w:sz w:val="20"/>
          <w:szCs w:val="20"/>
        </w:rPr>
        <w:tab/>
      </w:r>
      <w:r w:rsidR="000209A5">
        <w:rPr>
          <w:color w:val="FF3399"/>
          <w:sz w:val="20"/>
          <w:szCs w:val="20"/>
        </w:rPr>
        <w:t xml:space="preserve">    </w:t>
      </w:r>
      <w:r w:rsidRPr="000209A5">
        <w:rPr>
          <w:color w:val="FF3399"/>
          <w:sz w:val="20"/>
          <w:szCs w:val="20"/>
        </w:rPr>
        <w:tab/>
      </w:r>
      <w:r w:rsidR="000209A5" w:rsidRPr="000209A5">
        <w:rPr>
          <w:color w:val="FF3399"/>
          <w:sz w:val="20"/>
          <w:szCs w:val="20"/>
        </w:rPr>
        <w:t xml:space="preserve">      </w:t>
      </w:r>
      <w:r w:rsidR="00A065FB" w:rsidRPr="000209A5">
        <w:rPr>
          <w:color w:val="FF3399"/>
          <w:sz w:val="20"/>
          <w:szCs w:val="20"/>
        </w:rPr>
        <w:t xml:space="preserve"> </w:t>
      </w:r>
      <w:r w:rsidR="006F7664" w:rsidRPr="000209A5">
        <w:rPr>
          <w:color w:val="FF3399"/>
          <w:sz w:val="20"/>
          <w:szCs w:val="20"/>
        </w:rPr>
        <w:tab/>
      </w:r>
      <w:r w:rsidR="000209A5" w:rsidRPr="000209A5">
        <w:rPr>
          <w:color w:val="FF3399"/>
          <w:sz w:val="20"/>
          <w:szCs w:val="20"/>
        </w:rPr>
        <w:t xml:space="preserve">     </w:t>
      </w:r>
      <w:r w:rsidR="00A065FB" w:rsidRPr="000209A5">
        <w:rPr>
          <w:color w:val="FF3399"/>
          <w:sz w:val="20"/>
          <w:szCs w:val="20"/>
        </w:rPr>
        <w:t xml:space="preserve"> </w:t>
      </w:r>
      <w:r w:rsidR="000209A5">
        <w:rPr>
          <w:color w:val="FF3399"/>
          <w:sz w:val="20"/>
          <w:szCs w:val="20"/>
        </w:rPr>
        <w:t xml:space="preserve">               </w:t>
      </w:r>
      <w:r w:rsidR="00A065FB" w:rsidRPr="000209A5">
        <w:rPr>
          <w:color w:val="FF3399"/>
          <w:sz w:val="20"/>
          <w:szCs w:val="20"/>
        </w:rPr>
        <w:t xml:space="preserve"> </w:t>
      </w:r>
      <w:r w:rsidRPr="000209A5">
        <w:rPr>
          <w:color w:val="FF3399"/>
          <w:sz w:val="20"/>
          <w:szCs w:val="20"/>
        </w:rPr>
        <w:t>[Date of birth]</w:t>
      </w:r>
    </w:p>
    <w:p w14:paraId="6D0389D3" w14:textId="5DC18D53" w:rsidR="00C76FC3" w:rsidRPr="000209A5" w:rsidRDefault="00C76FC3" w:rsidP="003D251C">
      <w:pPr>
        <w:pStyle w:val="BodyText"/>
        <w:ind w:left="0"/>
        <w:rPr>
          <w:color w:val="FF3399"/>
          <w:sz w:val="20"/>
          <w:szCs w:val="20"/>
        </w:rPr>
      </w:pPr>
      <w:r w:rsidRPr="000209A5">
        <w:rPr>
          <w:color w:val="FF3399"/>
          <w:sz w:val="20"/>
          <w:szCs w:val="20"/>
        </w:rPr>
        <w:t xml:space="preserve">[Health plan address] </w:t>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000209A5">
        <w:rPr>
          <w:color w:val="FF3399"/>
          <w:sz w:val="20"/>
          <w:szCs w:val="20"/>
        </w:rPr>
        <w:t xml:space="preserve">                              </w:t>
      </w:r>
      <w:r w:rsidR="000209A5" w:rsidRPr="000209A5">
        <w:rPr>
          <w:color w:val="FF3399"/>
          <w:sz w:val="20"/>
          <w:szCs w:val="20"/>
        </w:rPr>
        <w:t xml:space="preserve">     </w:t>
      </w:r>
      <w:r w:rsidR="006F7664" w:rsidRPr="000209A5">
        <w:rPr>
          <w:color w:val="FF3399"/>
          <w:sz w:val="20"/>
          <w:szCs w:val="20"/>
        </w:rPr>
        <w:t xml:space="preserve"> </w:t>
      </w:r>
      <w:r w:rsidR="00A065FB" w:rsidRPr="000209A5">
        <w:rPr>
          <w:color w:val="FF3399"/>
          <w:sz w:val="20"/>
          <w:szCs w:val="20"/>
        </w:rPr>
        <w:t xml:space="preserve"> </w:t>
      </w:r>
      <w:r w:rsidRPr="000209A5">
        <w:rPr>
          <w:color w:val="FF3399"/>
          <w:sz w:val="20"/>
          <w:szCs w:val="20"/>
        </w:rPr>
        <w:t>[Case number]</w:t>
      </w:r>
    </w:p>
    <w:p w14:paraId="618CA9C1" w14:textId="0837A429" w:rsidR="00C76FC3" w:rsidRPr="000209A5" w:rsidRDefault="00C76FC3" w:rsidP="003D251C">
      <w:pPr>
        <w:pStyle w:val="BodyText"/>
        <w:ind w:left="0"/>
        <w:rPr>
          <w:color w:val="FF3399"/>
          <w:sz w:val="20"/>
          <w:szCs w:val="20"/>
        </w:rPr>
      </w:pPr>
      <w:r w:rsidRPr="000209A5">
        <w:rPr>
          <w:color w:val="FF3399"/>
          <w:sz w:val="20"/>
          <w:szCs w:val="20"/>
        </w:rPr>
        <w:t xml:space="preserve">[City, State, ZIP </w:t>
      </w:r>
      <w:r w:rsidR="006F7664" w:rsidRPr="000209A5">
        <w:rPr>
          <w:color w:val="FF3399"/>
          <w:sz w:val="20"/>
          <w:szCs w:val="20"/>
        </w:rPr>
        <w:t>C</w:t>
      </w:r>
      <w:r w:rsidRPr="000209A5">
        <w:rPr>
          <w:color w:val="FF3399"/>
          <w:sz w:val="20"/>
          <w:szCs w:val="20"/>
        </w:rPr>
        <w:t xml:space="preserve">ode] </w:t>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r>
      <w:r w:rsidRPr="000209A5">
        <w:rPr>
          <w:color w:val="FF3399"/>
          <w:sz w:val="20"/>
          <w:szCs w:val="20"/>
        </w:rPr>
        <w:tab/>
        <w:t xml:space="preserve">     </w:t>
      </w:r>
      <w:r w:rsidR="000209A5" w:rsidRPr="000209A5">
        <w:rPr>
          <w:color w:val="FF3399"/>
          <w:sz w:val="20"/>
          <w:szCs w:val="20"/>
        </w:rPr>
        <w:t xml:space="preserve">      </w:t>
      </w:r>
      <w:r w:rsidR="000209A5">
        <w:rPr>
          <w:color w:val="FF3399"/>
          <w:sz w:val="20"/>
          <w:szCs w:val="20"/>
        </w:rPr>
        <w:t xml:space="preserve"> </w:t>
      </w:r>
      <w:r w:rsidR="00A065FB" w:rsidRPr="000209A5">
        <w:rPr>
          <w:color w:val="FF3399"/>
          <w:sz w:val="20"/>
          <w:szCs w:val="20"/>
        </w:rPr>
        <w:t xml:space="preserve">    </w:t>
      </w:r>
      <w:r w:rsidRPr="000209A5">
        <w:rPr>
          <w:color w:val="FF3399"/>
          <w:sz w:val="20"/>
          <w:szCs w:val="20"/>
        </w:rPr>
        <w:t>[Dates of service]</w:t>
      </w:r>
    </w:p>
    <w:p w14:paraId="0266F578" w14:textId="77777777" w:rsidR="00C76FC3" w:rsidRPr="000209A5" w:rsidRDefault="00C76FC3" w:rsidP="00C76FC3">
      <w:pPr>
        <w:rPr>
          <w:sz w:val="20"/>
          <w:szCs w:val="20"/>
        </w:rPr>
      </w:pPr>
    </w:p>
    <w:p w14:paraId="6C594D0B" w14:textId="16B98A85" w:rsidR="00C76FC3" w:rsidRPr="000209A5" w:rsidRDefault="00C76FC3" w:rsidP="00C76FC3">
      <w:pPr>
        <w:rPr>
          <w:rFonts w:ascii="Carlito" w:hAnsi="Carlito"/>
          <w:sz w:val="20"/>
          <w:szCs w:val="20"/>
        </w:rPr>
      </w:pPr>
      <w:r w:rsidRPr="000209A5">
        <w:rPr>
          <w:rFonts w:ascii="Carlito" w:hAnsi="Carlito"/>
          <w:sz w:val="20"/>
          <w:szCs w:val="20"/>
        </w:rPr>
        <w:t xml:space="preserve">Re: Letter of Medical </w:t>
      </w:r>
      <w:r w:rsidR="00497E87" w:rsidRPr="00497E87">
        <w:rPr>
          <w:rFonts w:ascii="Carlito" w:hAnsi="Carlito"/>
          <w:color w:val="FF3299"/>
          <w:sz w:val="20"/>
          <w:szCs w:val="20"/>
        </w:rPr>
        <w:t>[</w:t>
      </w:r>
      <w:r w:rsidRPr="00497E87">
        <w:rPr>
          <w:rFonts w:ascii="Carlito" w:hAnsi="Carlito"/>
          <w:color w:val="FF3299"/>
          <w:sz w:val="20"/>
          <w:szCs w:val="20"/>
        </w:rPr>
        <w:t>Necessity</w:t>
      </w:r>
      <w:r w:rsidR="00497E87" w:rsidRPr="00497E87">
        <w:rPr>
          <w:rFonts w:ascii="Carlito" w:hAnsi="Carlito"/>
          <w:color w:val="FF3299"/>
          <w:sz w:val="20"/>
          <w:szCs w:val="20"/>
        </w:rPr>
        <w:t>/Exception]</w:t>
      </w:r>
      <w:r w:rsidRPr="00497E87">
        <w:rPr>
          <w:rFonts w:ascii="Carlito" w:hAnsi="Carlito"/>
          <w:color w:val="FF3299"/>
          <w:sz w:val="20"/>
          <w:szCs w:val="20"/>
        </w:rPr>
        <w:t xml:space="preserve"> </w:t>
      </w:r>
      <w:r w:rsidRPr="000209A5">
        <w:rPr>
          <w:rFonts w:ascii="Carlito" w:hAnsi="Carlito"/>
          <w:sz w:val="20"/>
          <w:szCs w:val="20"/>
        </w:rPr>
        <w:t xml:space="preserve">for </w:t>
      </w:r>
      <w:r w:rsidR="00942B2E" w:rsidRPr="000209A5">
        <w:rPr>
          <w:rFonts w:ascii="Carlito" w:hAnsi="Carlito"/>
          <w:sz w:val="20"/>
          <w:szCs w:val="20"/>
        </w:rPr>
        <w:t>PLUVICTO® (lutetium Lu 177 vipivotide tetraxetan)</w:t>
      </w:r>
    </w:p>
    <w:p w14:paraId="3256E631" w14:textId="77777777" w:rsidR="00C76FC3" w:rsidRPr="000209A5" w:rsidRDefault="00C76FC3" w:rsidP="00C76FC3">
      <w:pPr>
        <w:rPr>
          <w:sz w:val="20"/>
          <w:szCs w:val="20"/>
        </w:rPr>
      </w:pPr>
    </w:p>
    <w:p w14:paraId="38ED8978" w14:textId="42E3A5A8" w:rsidR="00C76FC3" w:rsidRPr="000209A5" w:rsidRDefault="00C76FC3" w:rsidP="00C76FC3">
      <w:pPr>
        <w:rPr>
          <w:rFonts w:ascii="Carlito" w:hAnsi="Carlito"/>
          <w:sz w:val="20"/>
          <w:szCs w:val="20"/>
        </w:rPr>
      </w:pPr>
      <w:r w:rsidRPr="000209A5">
        <w:rPr>
          <w:rFonts w:ascii="Carlito" w:hAnsi="Carlito"/>
          <w:sz w:val="20"/>
          <w:szCs w:val="20"/>
        </w:rPr>
        <w:t xml:space="preserve">Dear </w:t>
      </w:r>
      <w:r w:rsidRPr="000209A5">
        <w:rPr>
          <w:rFonts w:ascii="Carlito" w:hAnsi="Carlito"/>
          <w:color w:val="FF2F92"/>
          <w:sz w:val="20"/>
          <w:szCs w:val="20"/>
        </w:rPr>
        <w:t>[Medical/Pharmacy Director Name]</w:t>
      </w:r>
      <w:r w:rsidRPr="000209A5">
        <w:rPr>
          <w:rFonts w:ascii="Carlito" w:hAnsi="Carlito"/>
          <w:sz w:val="20"/>
          <w:szCs w:val="20"/>
        </w:rPr>
        <w:t>,</w:t>
      </w:r>
    </w:p>
    <w:p w14:paraId="18C192F8" w14:textId="77777777" w:rsidR="00712887" w:rsidRPr="000209A5" w:rsidRDefault="00712887" w:rsidP="00C76FC3">
      <w:pPr>
        <w:rPr>
          <w:rFonts w:ascii="Carlito" w:hAnsi="Carlito"/>
          <w:sz w:val="20"/>
          <w:szCs w:val="20"/>
        </w:rPr>
      </w:pPr>
    </w:p>
    <w:p w14:paraId="0BBF9EC8" w14:textId="059E2FCC" w:rsidR="00C76FC3" w:rsidRPr="000209A5" w:rsidRDefault="000209A5" w:rsidP="00AD3804">
      <w:pPr>
        <w:rPr>
          <w:rFonts w:ascii="Carlito" w:hAnsi="Carlito"/>
          <w:sz w:val="20"/>
          <w:szCs w:val="20"/>
        </w:rPr>
      </w:pPr>
      <w:r w:rsidRPr="000209A5">
        <w:rPr>
          <w:rFonts w:ascii="Carlito" w:hAnsi="Carlito"/>
          <w:sz w:val="20"/>
          <w:szCs w:val="20"/>
        </w:rPr>
        <w:t xml:space="preserve">My name is </w:t>
      </w:r>
      <w:r w:rsidRPr="000209A5">
        <w:rPr>
          <w:rFonts w:ascii="Carlito" w:hAnsi="Carlito"/>
          <w:color w:val="FF3399"/>
          <w:sz w:val="20"/>
          <w:szCs w:val="20"/>
        </w:rPr>
        <w:t>[HCP name]</w:t>
      </w:r>
      <w:r w:rsidRPr="000209A5">
        <w:rPr>
          <w:rFonts w:ascii="Carlito" w:hAnsi="Carlito"/>
          <w:sz w:val="20"/>
          <w:szCs w:val="20"/>
        </w:rPr>
        <w:t xml:space="preserve">, and I am a </w:t>
      </w:r>
      <w:r w:rsidRPr="000209A5">
        <w:rPr>
          <w:rFonts w:ascii="Carlito" w:hAnsi="Carlito"/>
          <w:color w:val="FF3399"/>
          <w:sz w:val="20"/>
          <w:szCs w:val="20"/>
        </w:rPr>
        <w:t>[medical specialty]</w:t>
      </w:r>
      <w:r w:rsidRPr="000209A5">
        <w:rPr>
          <w:rFonts w:ascii="Carlito" w:hAnsi="Carlito"/>
          <w:sz w:val="20"/>
          <w:szCs w:val="20"/>
        </w:rPr>
        <w:t xml:space="preserve">. </w:t>
      </w:r>
      <w:r w:rsidR="00C76FC3" w:rsidRPr="000209A5">
        <w:rPr>
          <w:rFonts w:ascii="Carlito" w:hAnsi="Carlito"/>
          <w:sz w:val="20"/>
          <w:szCs w:val="20"/>
        </w:rPr>
        <w:t xml:space="preserve">I am writing this letter of medical </w:t>
      </w:r>
      <w:r w:rsidR="00497E87" w:rsidRPr="00497E87">
        <w:rPr>
          <w:rFonts w:ascii="Carlito" w:hAnsi="Carlito"/>
          <w:color w:val="FF3299"/>
          <w:sz w:val="20"/>
          <w:szCs w:val="20"/>
        </w:rPr>
        <w:t>[</w:t>
      </w:r>
      <w:r w:rsidR="00C76FC3" w:rsidRPr="00497E87">
        <w:rPr>
          <w:rFonts w:ascii="Carlito" w:hAnsi="Carlito"/>
          <w:color w:val="FF3299"/>
          <w:sz w:val="20"/>
          <w:szCs w:val="20"/>
        </w:rPr>
        <w:t>necessity</w:t>
      </w:r>
      <w:r w:rsidR="00497E87" w:rsidRPr="00497E87">
        <w:rPr>
          <w:rFonts w:ascii="Carlito" w:hAnsi="Carlito"/>
          <w:color w:val="FF3299"/>
          <w:sz w:val="20"/>
          <w:szCs w:val="20"/>
        </w:rPr>
        <w:t>/exception]</w:t>
      </w:r>
      <w:r w:rsidR="00C76FC3" w:rsidRPr="00497E87">
        <w:rPr>
          <w:rFonts w:ascii="Carlito" w:hAnsi="Carlito"/>
          <w:color w:val="FF3299"/>
          <w:sz w:val="20"/>
          <w:szCs w:val="20"/>
        </w:rPr>
        <w:t xml:space="preserve"> </w:t>
      </w:r>
      <w:r w:rsidR="00C76FC3" w:rsidRPr="000209A5">
        <w:rPr>
          <w:rFonts w:ascii="Carlito" w:hAnsi="Carlito"/>
          <w:sz w:val="20"/>
          <w:szCs w:val="20"/>
        </w:rPr>
        <w:t xml:space="preserve">on behalf of </w:t>
      </w:r>
      <w:r w:rsidR="00C76FC3" w:rsidRPr="000209A5">
        <w:rPr>
          <w:rFonts w:ascii="Carlito" w:hAnsi="Carlito"/>
          <w:color w:val="FF2F92"/>
          <w:sz w:val="20"/>
          <w:szCs w:val="20"/>
        </w:rPr>
        <w:t xml:space="preserve">[Patient’s Name] </w:t>
      </w:r>
      <w:r w:rsidR="00C76FC3" w:rsidRPr="000209A5">
        <w:rPr>
          <w:rFonts w:ascii="Carlito" w:hAnsi="Carlito"/>
          <w:sz w:val="20"/>
          <w:szCs w:val="20"/>
        </w:rPr>
        <w:t xml:space="preserve">to request coverage for </w:t>
      </w:r>
      <w:r w:rsidR="00942B2E" w:rsidRPr="000209A5">
        <w:rPr>
          <w:rFonts w:ascii="Carlito" w:hAnsi="Carlito"/>
          <w:sz w:val="20"/>
          <w:szCs w:val="20"/>
        </w:rPr>
        <w:t>PLUVICTO</w:t>
      </w:r>
      <w:r w:rsidR="00C76FC3" w:rsidRPr="000209A5">
        <w:rPr>
          <w:rFonts w:ascii="Carlito" w:hAnsi="Carlito"/>
          <w:sz w:val="20"/>
          <w:szCs w:val="20"/>
        </w:rPr>
        <w:t xml:space="preserve"> for the </w:t>
      </w:r>
      <w:r w:rsidR="00255FDC" w:rsidRPr="000209A5">
        <w:rPr>
          <w:rFonts w:ascii="Carlito" w:hAnsi="Carlito"/>
          <w:sz w:val="20"/>
          <w:szCs w:val="20"/>
        </w:rPr>
        <w:t xml:space="preserve">treatment of </w:t>
      </w:r>
      <w:r w:rsidR="003D251C">
        <w:rPr>
          <w:rFonts w:ascii="Carlito" w:hAnsi="Carlito"/>
          <w:color w:val="FF3399"/>
          <w:sz w:val="20"/>
          <w:szCs w:val="20"/>
        </w:rPr>
        <w:t>[product indication</w:t>
      </w:r>
      <w:r w:rsidR="00255FDC" w:rsidRPr="00845A19">
        <w:rPr>
          <w:rFonts w:ascii="Carlito" w:hAnsi="Carlito"/>
          <w:color w:val="FF3399"/>
          <w:sz w:val="20"/>
          <w:szCs w:val="20"/>
        </w:rPr>
        <w:t>]</w:t>
      </w:r>
      <w:r w:rsidR="00AD3804" w:rsidRPr="000209A5">
        <w:rPr>
          <w:rFonts w:ascii="Carlito" w:hAnsi="Carlito"/>
          <w:color w:val="FF2F92"/>
          <w:sz w:val="20"/>
          <w:szCs w:val="20"/>
        </w:rPr>
        <w:t xml:space="preserve"> [insert ICD-10 code(s)]</w:t>
      </w:r>
      <w:r w:rsidR="00AD3804" w:rsidRPr="000209A5">
        <w:rPr>
          <w:rFonts w:ascii="Carlito" w:hAnsi="Carlito"/>
          <w:color w:val="000000" w:themeColor="text1"/>
          <w:sz w:val="20"/>
          <w:szCs w:val="20"/>
        </w:rPr>
        <w:t>.</w:t>
      </w:r>
      <w:r w:rsidR="00AD3804" w:rsidRPr="000209A5">
        <w:rPr>
          <w:rFonts w:ascii="Carlito" w:hAnsi="Carlito"/>
          <w:color w:val="FF2F92"/>
          <w:sz w:val="20"/>
          <w:szCs w:val="20"/>
        </w:rPr>
        <w:t xml:space="preserve"> </w:t>
      </w:r>
      <w:r w:rsidR="00C76FC3" w:rsidRPr="000209A5">
        <w:rPr>
          <w:rFonts w:ascii="Carlito" w:hAnsi="Carlito"/>
          <w:sz w:val="20"/>
          <w:szCs w:val="20"/>
        </w:rPr>
        <w:t>This letter provides the clinical rationale and relevant information about the patient’s medical history and treatment.</w:t>
      </w:r>
    </w:p>
    <w:p w14:paraId="72DE64BD" w14:textId="77777777" w:rsidR="00712887" w:rsidRPr="000209A5" w:rsidRDefault="00712887" w:rsidP="00C76FC3">
      <w:pPr>
        <w:rPr>
          <w:rFonts w:ascii="Carlito" w:hAnsi="Carlito"/>
          <w:sz w:val="20"/>
          <w:szCs w:val="20"/>
        </w:rPr>
      </w:pPr>
    </w:p>
    <w:p w14:paraId="0DE61B24" w14:textId="1F4C6892" w:rsidR="000209A5" w:rsidRPr="00C8434C" w:rsidRDefault="00C76FC3" w:rsidP="000209A5">
      <w:pPr>
        <w:rPr>
          <w:rFonts w:ascii="Carlito" w:hAnsi="Carlito"/>
          <w:color w:val="FF3399"/>
          <w:sz w:val="20"/>
          <w:szCs w:val="20"/>
        </w:rPr>
      </w:pPr>
      <w:r w:rsidRPr="000209A5">
        <w:rPr>
          <w:rFonts w:ascii="Carlito" w:hAnsi="Carlito"/>
          <w:sz w:val="20"/>
          <w:szCs w:val="20"/>
        </w:rPr>
        <w:t xml:space="preserve">I have been treating </w:t>
      </w:r>
      <w:r w:rsidRPr="000209A5">
        <w:rPr>
          <w:rFonts w:ascii="Carlito" w:hAnsi="Carlito"/>
          <w:color w:val="FF2F92"/>
          <w:sz w:val="20"/>
          <w:szCs w:val="20"/>
        </w:rPr>
        <w:t>[Patient’s Name]</w:t>
      </w:r>
      <w:r w:rsidR="001967A5">
        <w:rPr>
          <w:rFonts w:ascii="Carlito" w:hAnsi="Carlito"/>
          <w:sz w:val="20"/>
          <w:szCs w:val="20"/>
        </w:rPr>
        <w:t>,</w:t>
      </w:r>
      <w:r w:rsidR="001967A5" w:rsidRPr="001967A5">
        <w:rPr>
          <w:rFonts w:ascii="Carlito" w:hAnsi="Carlito"/>
          <w:color w:val="FF2F92"/>
          <w:sz w:val="20"/>
          <w:szCs w:val="20"/>
        </w:rPr>
        <w:t xml:space="preserve"> </w:t>
      </w:r>
      <w:r w:rsidR="001967A5" w:rsidRPr="000209A5">
        <w:rPr>
          <w:rFonts w:ascii="Carlito" w:hAnsi="Carlito"/>
          <w:color w:val="FF2F92"/>
          <w:sz w:val="20"/>
          <w:szCs w:val="20"/>
        </w:rPr>
        <w:t>[</w:t>
      </w:r>
      <w:r w:rsidR="001967A5">
        <w:rPr>
          <w:rFonts w:ascii="Carlito" w:hAnsi="Carlito"/>
          <w:color w:val="FF2F92"/>
          <w:sz w:val="20"/>
          <w:szCs w:val="20"/>
        </w:rPr>
        <w:t>a/an] [age]</w:t>
      </w:r>
      <w:r w:rsidR="0003410F">
        <w:rPr>
          <w:rFonts w:ascii="Carlito" w:hAnsi="Carlito"/>
          <w:sz w:val="20"/>
          <w:szCs w:val="20"/>
        </w:rPr>
        <w:t xml:space="preserve">-year-old </w:t>
      </w:r>
      <w:r w:rsidR="001967A5">
        <w:rPr>
          <w:rFonts w:ascii="Carlito" w:hAnsi="Carlito"/>
          <w:sz w:val="20"/>
          <w:szCs w:val="20"/>
        </w:rPr>
        <w:t xml:space="preserve">patient </w:t>
      </w:r>
      <w:r w:rsidRPr="000209A5">
        <w:rPr>
          <w:rFonts w:ascii="Carlito" w:hAnsi="Carlito"/>
          <w:sz w:val="20"/>
          <w:szCs w:val="20"/>
        </w:rPr>
        <w:t xml:space="preserve">since </w:t>
      </w:r>
      <w:r w:rsidRPr="000209A5">
        <w:rPr>
          <w:rFonts w:ascii="Carlito" w:hAnsi="Carlito"/>
          <w:color w:val="FF2F92"/>
          <w:sz w:val="20"/>
          <w:szCs w:val="20"/>
        </w:rPr>
        <w:t>[Date]</w:t>
      </w:r>
      <w:r w:rsidRPr="000209A5">
        <w:rPr>
          <w:rFonts w:ascii="Carlito" w:hAnsi="Carlito"/>
          <w:sz w:val="20"/>
          <w:szCs w:val="20"/>
        </w:rPr>
        <w:t xml:space="preserve">. My rationale for prescribing </w:t>
      </w:r>
      <w:r w:rsidR="00942B2E" w:rsidRPr="000209A5">
        <w:rPr>
          <w:rFonts w:ascii="Carlito" w:hAnsi="Carlito"/>
          <w:sz w:val="20"/>
          <w:szCs w:val="20"/>
        </w:rPr>
        <w:t>PLUVICTO</w:t>
      </w:r>
      <w:r w:rsidRPr="000209A5">
        <w:rPr>
          <w:rFonts w:ascii="Carlito" w:hAnsi="Carlito"/>
          <w:sz w:val="20"/>
          <w:szCs w:val="20"/>
        </w:rPr>
        <w:t xml:space="preserve"> is: </w:t>
      </w:r>
      <w:r w:rsidRPr="00C8434C">
        <w:rPr>
          <w:rFonts w:ascii="Carlito" w:hAnsi="Carlito"/>
          <w:color w:val="FF3399"/>
          <w:sz w:val="20"/>
          <w:szCs w:val="20"/>
        </w:rPr>
        <w:t xml:space="preserve">[Include relevant medical information </w:t>
      </w:r>
      <w:r w:rsidR="00DF14D6" w:rsidRPr="00C8434C">
        <w:rPr>
          <w:rFonts w:ascii="Carlito" w:hAnsi="Carlito"/>
          <w:color w:val="FF3399"/>
          <w:sz w:val="20"/>
          <w:szCs w:val="20"/>
        </w:rPr>
        <w:t xml:space="preserve">and/or documentation </w:t>
      </w:r>
      <w:r w:rsidRPr="00C8434C">
        <w:rPr>
          <w:rFonts w:ascii="Carlito" w:hAnsi="Carlito"/>
          <w:color w:val="FF3399"/>
          <w:sz w:val="20"/>
          <w:szCs w:val="20"/>
        </w:rPr>
        <w:t xml:space="preserve">and </w:t>
      </w:r>
      <w:r w:rsidR="00DF14D6" w:rsidRPr="00C8434C">
        <w:rPr>
          <w:rFonts w:ascii="Carlito" w:hAnsi="Carlito"/>
          <w:color w:val="FF3399"/>
          <w:sz w:val="20"/>
          <w:szCs w:val="20"/>
        </w:rPr>
        <w:t xml:space="preserve">explain </w:t>
      </w:r>
      <w:r w:rsidRPr="00C8434C">
        <w:rPr>
          <w:rFonts w:ascii="Carlito" w:hAnsi="Carlito"/>
          <w:color w:val="FF3399"/>
          <w:sz w:val="20"/>
          <w:szCs w:val="20"/>
        </w:rPr>
        <w:t xml:space="preserve">why </w:t>
      </w:r>
      <w:r w:rsidR="00942B2E" w:rsidRPr="00C8434C">
        <w:rPr>
          <w:rFonts w:ascii="Carlito" w:hAnsi="Carlito"/>
          <w:color w:val="FF3399"/>
          <w:sz w:val="20"/>
          <w:szCs w:val="20"/>
        </w:rPr>
        <w:t>PLUVICTO</w:t>
      </w:r>
      <w:r w:rsidRPr="00C8434C">
        <w:rPr>
          <w:rFonts w:ascii="Carlito" w:hAnsi="Carlito"/>
          <w:color w:val="FF3399"/>
          <w:sz w:val="20"/>
          <w:szCs w:val="20"/>
        </w:rPr>
        <w:t xml:space="preserve"> is the most appropriate treatment option. </w:t>
      </w:r>
      <w:r w:rsidR="00044977" w:rsidRPr="00044977">
        <w:rPr>
          <w:rFonts w:ascii="Carlito" w:hAnsi="Carlito"/>
          <w:color w:val="FF3399"/>
          <w:sz w:val="20"/>
          <w:szCs w:val="20"/>
        </w:rPr>
        <w:t>Include potential examples such as</w:t>
      </w:r>
      <w:r w:rsidR="000209A5" w:rsidRPr="00C8434C">
        <w:rPr>
          <w:rFonts w:ascii="Carlito" w:hAnsi="Carlito"/>
          <w:color w:val="FF3399"/>
          <w:sz w:val="20"/>
          <w:szCs w:val="20"/>
        </w:rPr>
        <w:t xml:space="preserve">: </w:t>
      </w:r>
    </w:p>
    <w:p w14:paraId="165B1267" w14:textId="2DE8F886" w:rsidR="003E2160" w:rsidRDefault="003E2160" w:rsidP="003E2160">
      <w:pPr>
        <w:pStyle w:val="ListParagraph"/>
        <w:numPr>
          <w:ilvl w:val="0"/>
          <w:numId w:val="2"/>
        </w:numPr>
        <w:rPr>
          <w:rFonts w:ascii="Carlito" w:hAnsi="Carlito"/>
          <w:color w:val="FF3399"/>
          <w:sz w:val="20"/>
          <w:szCs w:val="20"/>
        </w:rPr>
      </w:pPr>
      <w:r w:rsidRPr="003E2160">
        <w:rPr>
          <w:rFonts w:ascii="Carlito" w:hAnsi="Carlito"/>
          <w:color w:val="FF3399"/>
          <w:sz w:val="20"/>
          <w:szCs w:val="20"/>
        </w:rPr>
        <w:t>Provide clinical support for your recommendation as to why PLUVICTO is the most appropriate treatment option (</w:t>
      </w:r>
      <w:r w:rsidR="000970E7">
        <w:rPr>
          <w:rFonts w:ascii="Carlito" w:hAnsi="Carlito"/>
          <w:color w:val="FF3399"/>
          <w:sz w:val="20"/>
          <w:szCs w:val="20"/>
        </w:rPr>
        <w:t>t</w:t>
      </w:r>
      <w:r w:rsidRPr="003E2160">
        <w:rPr>
          <w:rFonts w:ascii="Carlito" w:hAnsi="Carlito"/>
          <w:color w:val="FF3399"/>
          <w:sz w:val="20"/>
          <w:szCs w:val="20"/>
        </w:rPr>
        <w:t xml:space="preserve">his can be clinical trial data from the PLUVICTO </w:t>
      </w:r>
      <w:r w:rsidR="000970E7">
        <w:rPr>
          <w:rFonts w:ascii="Carlito" w:hAnsi="Carlito"/>
          <w:color w:val="FF3399"/>
          <w:sz w:val="20"/>
          <w:szCs w:val="20"/>
        </w:rPr>
        <w:t>p</w:t>
      </w:r>
      <w:r w:rsidRPr="003E2160">
        <w:rPr>
          <w:rFonts w:ascii="Carlito" w:hAnsi="Carlito"/>
          <w:color w:val="FF3399"/>
          <w:sz w:val="20"/>
          <w:szCs w:val="20"/>
        </w:rPr>
        <w:t xml:space="preserve">rescribing </w:t>
      </w:r>
      <w:r w:rsidR="000970E7">
        <w:rPr>
          <w:rFonts w:ascii="Carlito" w:hAnsi="Carlito"/>
          <w:color w:val="FF3399"/>
          <w:sz w:val="20"/>
          <w:szCs w:val="20"/>
        </w:rPr>
        <w:t>i</w:t>
      </w:r>
      <w:r w:rsidRPr="003E2160">
        <w:rPr>
          <w:rFonts w:ascii="Carlito" w:hAnsi="Carlito"/>
          <w:color w:val="FF3399"/>
          <w:sz w:val="20"/>
          <w:szCs w:val="20"/>
        </w:rPr>
        <w:t>nformation)</w:t>
      </w:r>
    </w:p>
    <w:p w14:paraId="71D800B6" w14:textId="0F032B0C" w:rsidR="00C11FFB" w:rsidRDefault="00C11FFB" w:rsidP="003E2160">
      <w:pPr>
        <w:pStyle w:val="ListParagraph"/>
        <w:numPr>
          <w:ilvl w:val="0"/>
          <w:numId w:val="2"/>
        </w:numPr>
        <w:rPr>
          <w:rFonts w:ascii="Carlito" w:hAnsi="Carlito"/>
          <w:color w:val="FF3399"/>
          <w:sz w:val="20"/>
          <w:szCs w:val="20"/>
        </w:rPr>
      </w:pPr>
      <w:r w:rsidRPr="00C11FFB">
        <w:rPr>
          <w:rFonts w:ascii="Carlito" w:hAnsi="Carlito"/>
          <w:color w:val="FF3399"/>
          <w:sz w:val="20"/>
          <w:szCs w:val="20"/>
        </w:rPr>
        <w:t xml:space="preserve">Share that lutetium lu 177 vipivotide tetraxetan (PLUVICTO®) is an </w:t>
      </w:r>
      <w:r w:rsidR="00C15F6A" w:rsidRPr="00C15F6A">
        <w:rPr>
          <w:rFonts w:ascii="Carlito" w:hAnsi="Carlito"/>
          <w:color w:val="FF3399"/>
          <w:sz w:val="20"/>
          <w:szCs w:val="20"/>
        </w:rPr>
        <w:t>NCCN Clinical Practice Guidelines in Oncology (NCCN Guidelines®)</w:t>
      </w:r>
      <w:r w:rsidR="00C15F6A">
        <w:rPr>
          <w:rFonts w:ascii="Carlito" w:hAnsi="Carlito"/>
          <w:color w:val="FF3399"/>
          <w:sz w:val="20"/>
          <w:szCs w:val="20"/>
        </w:rPr>
        <w:t xml:space="preserve"> </w:t>
      </w:r>
      <w:r w:rsidRPr="00C11FFB">
        <w:rPr>
          <w:rFonts w:ascii="Carlito" w:hAnsi="Carlito"/>
          <w:color w:val="FF3399"/>
          <w:sz w:val="20"/>
          <w:szCs w:val="20"/>
        </w:rPr>
        <w:t xml:space="preserve">recommended option for patients with </w:t>
      </w:r>
      <w:r w:rsidR="001618B7" w:rsidRPr="001618B7">
        <w:rPr>
          <w:rFonts w:ascii="Carlito" w:hAnsi="Carlito"/>
          <w:color w:val="FF3399"/>
          <w:sz w:val="20"/>
          <w:szCs w:val="20"/>
        </w:rPr>
        <w:t>metastatic androgen pathway modulation-resistant (mAPMR) prostate cancer (also known as metastatic castration-resistant prostate cancer (mCRPC))</w:t>
      </w:r>
      <w:r w:rsidR="002D375A">
        <w:rPr>
          <w:rFonts w:ascii="Carlito" w:hAnsi="Carlito"/>
          <w:color w:val="FF3399"/>
          <w:sz w:val="20"/>
          <w:szCs w:val="20"/>
        </w:rPr>
        <w:t>*</w:t>
      </w:r>
    </w:p>
    <w:p w14:paraId="6EEAD15A" w14:textId="77777777" w:rsidR="00D74057" w:rsidRPr="00732476" w:rsidRDefault="00D74057" w:rsidP="00D74057">
      <w:pPr>
        <w:pStyle w:val="ListParagraph"/>
        <w:numPr>
          <w:ilvl w:val="1"/>
          <w:numId w:val="2"/>
        </w:numPr>
        <w:rPr>
          <w:color w:val="FF3399"/>
          <w:sz w:val="20"/>
          <w:szCs w:val="20"/>
        </w:rPr>
      </w:pPr>
      <w:r w:rsidRPr="00732476">
        <w:rPr>
          <w:color w:val="FF3399"/>
          <w:sz w:val="20"/>
          <w:szCs w:val="20"/>
        </w:rPr>
        <w:t>NCCN Category 1</w:t>
      </w:r>
      <w:r w:rsidRPr="00732476">
        <w:rPr>
          <w:color w:val="FF3399"/>
          <w:sz w:val="20"/>
          <w:szCs w:val="20"/>
          <w:vertAlign w:val="superscript"/>
        </w:rPr>
        <w:t>†</w:t>
      </w:r>
      <w:r w:rsidRPr="00732476">
        <w:rPr>
          <w:color w:val="FF3399"/>
          <w:sz w:val="20"/>
          <w:szCs w:val="20"/>
        </w:rPr>
        <w:t xml:space="preserve"> recommended, useful in some circumstances, for prostate-specific membrane antigen (PSMA)-positive (PSMA+) mCRPC patients with progression on androgen receptor pathway inhibition (ARPI) and prior docetaxel chemotherapy</w:t>
      </w:r>
    </w:p>
    <w:p w14:paraId="6B0F0188" w14:textId="1F08120E" w:rsidR="00C11FFB" w:rsidRDefault="00C11FFB" w:rsidP="00C11FFB">
      <w:pPr>
        <w:pStyle w:val="ListParagraph"/>
        <w:numPr>
          <w:ilvl w:val="1"/>
          <w:numId w:val="2"/>
        </w:numPr>
        <w:rPr>
          <w:rFonts w:ascii="Carlito" w:hAnsi="Carlito"/>
          <w:color w:val="FF3399"/>
          <w:sz w:val="20"/>
          <w:szCs w:val="20"/>
        </w:rPr>
      </w:pPr>
      <w:r w:rsidRPr="00C11FFB">
        <w:rPr>
          <w:rFonts w:ascii="Carlito" w:hAnsi="Carlito"/>
          <w:color w:val="FF3399"/>
          <w:sz w:val="20"/>
          <w:szCs w:val="20"/>
        </w:rPr>
        <w:t>NCCN Category 2A</w:t>
      </w:r>
      <w:r w:rsidR="00980665" w:rsidRPr="00980665">
        <w:rPr>
          <w:rFonts w:ascii="Carlito" w:hAnsi="Carlito"/>
          <w:color w:val="FF3399"/>
          <w:sz w:val="20"/>
          <w:szCs w:val="20"/>
          <w:vertAlign w:val="superscript"/>
        </w:rPr>
        <w:t>‡</w:t>
      </w:r>
      <w:r w:rsidRPr="00C11FFB">
        <w:rPr>
          <w:rFonts w:ascii="Carlito" w:hAnsi="Carlito"/>
          <w:color w:val="FF3399"/>
          <w:sz w:val="20"/>
          <w:szCs w:val="20"/>
        </w:rPr>
        <w:t xml:space="preserve"> recommended, useful in certain circumstances, for mCRPC patients with:</w:t>
      </w:r>
    </w:p>
    <w:p w14:paraId="745B9EA3" w14:textId="20F30512" w:rsidR="00C11FFB" w:rsidRDefault="00C11FFB" w:rsidP="00C11FFB">
      <w:pPr>
        <w:pStyle w:val="ListParagraph"/>
        <w:numPr>
          <w:ilvl w:val="2"/>
          <w:numId w:val="2"/>
        </w:numPr>
        <w:rPr>
          <w:rFonts w:ascii="Carlito" w:hAnsi="Carlito"/>
          <w:color w:val="FF3399"/>
          <w:sz w:val="20"/>
          <w:szCs w:val="20"/>
        </w:rPr>
      </w:pPr>
      <w:r w:rsidRPr="00C11FFB">
        <w:rPr>
          <w:rFonts w:ascii="Carlito" w:hAnsi="Carlito"/>
          <w:color w:val="FF3399"/>
          <w:sz w:val="20"/>
          <w:szCs w:val="20"/>
        </w:rPr>
        <w:t>At least 1 PSMA+</w:t>
      </w:r>
      <w:r w:rsidR="00D74057">
        <w:rPr>
          <w:rFonts w:ascii="Carlito" w:hAnsi="Carlito"/>
          <w:color w:val="FF3399"/>
          <w:sz w:val="20"/>
          <w:szCs w:val="20"/>
        </w:rPr>
        <w:t xml:space="preserve"> </w:t>
      </w:r>
      <w:r w:rsidRPr="00C11FFB">
        <w:rPr>
          <w:rFonts w:ascii="Carlito" w:hAnsi="Carlito"/>
          <w:color w:val="FF3399"/>
          <w:sz w:val="20"/>
          <w:szCs w:val="20"/>
        </w:rPr>
        <w:t>lesion and/or metastatic disease that is predominantly PSMA</w:t>
      </w:r>
      <w:r>
        <w:rPr>
          <w:rFonts w:ascii="Carlito" w:hAnsi="Carlito"/>
          <w:color w:val="FF3399"/>
          <w:sz w:val="20"/>
          <w:szCs w:val="20"/>
        </w:rPr>
        <w:t>+</w:t>
      </w:r>
    </w:p>
    <w:p w14:paraId="7E978E28" w14:textId="578B1523" w:rsidR="00C11FFB" w:rsidRDefault="00C11FFB" w:rsidP="00C11FFB">
      <w:pPr>
        <w:pStyle w:val="ListParagraph"/>
        <w:numPr>
          <w:ilvl w:val="2"/>
          <w:numId w:val="2"/>
        </w:numPr>
        <w:rPr>
          <w:rFonts w:ascii="Carlito" w:hAnsi="Carlito"/>
          <w:color w:val="FF3399"/>
          <w:sz w:val="20"/>
          <w:szCs w:val="20"/>
        </w:rPr>
      </w:pPr>
      <w:r w:rsidRPr="00C11FFB">
        <w:rPr>
          <w:rFonts w:ascii="Carlito" w:hAnsi="Carlito"/>
          <w:color w:val="FF3399"/>
          <w:sz w:val="20"/>
          <w:szCs w:val="20"/>
        </w:rPr>
        <w:t>No dominant PSMA-negative metastatic lesio</w:t>
      </w:r>
      <w:r>
        <w:rPr>
          <w:rFonts w:ascii="Carlito" w:hAnsi="Carlito"/>
          <w:color w:val="FF3399"/>
          <w:sz w:val="20"/>
          <w:szCs w:val="20"/>
        </w:rPr>
        <w:t>ns</w:t>
      </w:r>
    </w:p>
    <w:p w14:paraId="368BE7AA" w14:textId="463A0933" w:rsidR="00C11FFB" w:rsidRPr="00C11FFB" w:rsidRDefault="00C11FFB" w:rsidP="00C11FFB">
      <w:pPr>
        <w:pStyle w:val="ListParagraph"/>
        <w:numPr>
          <w:ilvl w:val="2"/>
          <w:numId w:val="2"/>
        </w:numPr>
        <w:rPr>
          <w:rFonts w:ascii="Carlito" w:hAnsi="Carlito"/>
          <w:color w:val="FF3399"/>
          <w:sz w:val="20"/>
          <w:szCs w:val="20"/>
        </w:rPr>
      </w:pPr>
      <w:r w:rsidRPr="00C11FFB">
        <w:rPr>
          <w:rFonts w:ascii="Carlito" w:hAnsi="Carlito"/>
          <w:color w:val="FF3399"/>
          <w:sz w:val="20"/>
          <w:szCs w:val="20"/>
        </w:rPr>
        <w:t xml:space="preserve">Progression on prior androgen receptor-directed therapy and </w:t>
      </w:r>
      <w:r w:rsidRPr="00C11FFB">
        <w:rPr>
          <w:rFonts w:ascii="Carlito" w:hAnsi="Carlito"/>
          <w:b/>
          <w:bCs/>
          <w:color w:val="FF3399"/>
          <w:sz w:val="20"/>
          <w:szCs w:val="20"/>
        </w:rPr>
        <w:t>no prior taxane-based chemotherap</w:t>
      </w:r>
      <w:r>
        <w:rPr>
          <w:rFonts w:ascii="Carlito" w:hAnsi="Carlito"/>
          <w:b/>
          <w:bCs/>
          <w:color w:val="FF3399"/>
          <w:sz w:val="20"/>
          <w:szCs w:val="20"/>
        </w:rPr>
        <w:t>y</w:t>
      </w:r>
    </w:p>
    <w:p w14:paraId="11116CA1" w14:textId="64810553" w:rsidR="002D375A" w:rsidRDefault="00C11FFB" w:rsidP="00C11FFB">
      <w:pPr>
        <w:ind w:left="720" w:hanging="90"/>
        <w:rPr>
          <w:rFonts w:ascii="Carlito" w:hAnsi="Carlito"/>
          <w:color w:val="FF3399"/>
          <w:sz w:val="20"/>
          <w:szCs w:val="20"/>
        </w:rPr>
      </w:pPr>
      <w:r w:rsidRPr="00C11FFB">
        <w:rPr>
          <w:rFonts w:ascii="Carlito" w:hAnsi="Carlito"/>
          <w:color w:val="FF3399"/>
          <w:sz w:val="20"/>
          <w:szCs w:val="20"/>
        </w:rPr>
        <w:t>*</w:t>
      </w:r>
      <w:r w:rsidR="002D375A" w:rsidRPr="002D375A">
        <w:rPr>
          <w:rFonts w:ascii="Carlito" w:hAnsi="Carlito"/>
          <w:color w:val="FF3399"/>
          <w:sz w:val="20"/>
          <w:szCs w:val="20"/>
        </w:rPr>
        <w:t>NCCN makes no warranties of any kind whatsoever regarding their content, use or application and disclaims any responsibility for their application or use in any way.</w:t>
      </w:r>
    </w:p>
    <w:p w14:paraId="240544BA" w14:textId="2EF5308E" w:rsidR="00980665" w:rsidRPr="00980665" w:rsidRDefault="002D375A" w:rsidP="00C11FFB">
      <w:pPr>
        <w:ind w:left="720" w:hanging="90"/>
        <w:rPr>
          <w:rFonts w:ascii="Carlito" w:hAnsi="Carlito"/>
          <w:color w:val="FF3399"/>
          <w:sz w:val="20"/>
          <w:szCs w:val="20"/>
        </w:rPr>
      </w:pPr>
      <w:r w:rsidRPr="002D375A">
        <w:rPr>
          <w:rFonts w:ascii="Carlito" w:hAnsi="Carlito"/>
          <w:color w:val="FF3399"/>
          <w:sz w:val="20"/>
          <w:szCs w:val="20"/>
          <w:vertAlign w:val="superscript"/>
        </w:rPr>
        <w:t>†</w:t>
      </w:r>
      <w:r w:rsidR="00980665">
        <w:rPr>
          <w:rFonts w:ascii="Carlito" w:hAnsi="Carlito"/>
          <w:color w:val="FF3399"/>
          <w:sz w:val="20"/>
          <w:szCs w:val="20"/>
        </w:rPr>
        <w:t xml:space="preserve">A Category 1 rating is based upon high-level evidence; there is uniform NCCN consensus that the intervention is appropriate. </w:t>
      </w:r>
    </w:p>
    <w:p w14:paraId="3198E640" w14:textId="792A6863" w:rsidR="00C11FFB" w:rsidRPr="00C11FFB" w:rsidRDefault="00980665" w:rsidP="00C11FFB">
      <w:pPr>
        <w:ind w:left="720" w:hanging="90"/>
        <w:rPr>
          <w:rFonts w:ascii="Carlito" w:hAnsi="Carlito"/>
          <w:color w:val="FF3399"/>
          <w:sz w:val="20"/>
          <w:szCs w:val="20"/>
        </w:rPr>
      </w:pPr>
      <w:r w:rsidRPr="00980665">
        <w:rPr>
          <w:rFonts w:ascii="Carlito" w:hAnsi="Carlito"/>
          <w:color w:val="FF3399"/>
          <w:sz w:val="20"/>
          <w:szCs w:val="20"/>
          <w:vertAlign w:val="superscript"/>
        </w:rPr>
        <w:t>‡</w:t>
      </w:r>
      <w:r w:rsidR="00C11FFB" w:rsidRPr="00C11FFB">
        <w:rPr>
          <w:rFonts w:ascii="Carlito" w:hAnsi="Carlito"/>
          <w:color w:val="FF3399"/>
          <w:sz w:val="20"/>
          <w:szCs w:val="20"/>
        </w:rPr>
        <w:t>A Category 2A rating is based upon lower-level evidence; there is uniform NCCN consensus (≥85% support of the Panel) that the intervention is appropriate.</w:t>
      </w:r>
    </w:p>
    <w:p w14:paraId="3EDDC5D8" w14:textId="77777777" w:rsidR="003E2160" w:rsidRPr="003E2160" w:rsidRDefault="003E2160" w:rsidP="003E2160">
      <w:pPr>
        <w:pStyle w:val="ListParagraph"/>
        <w:numPr>
          <w:ilvl w:val="0"/>
          <w:numId w:val="2"/>
        </w:numPr>
        <w:rPr>
          <w:rFonts w:ascii="Carlito" w:hAnsi="Carlito"/>
          <w:color w:val="FF3399"/>
          <w:sz w:val="20"/>
          <w:szCs w:val="20"/>
        </w:rPr>
      </w:pPr>
      <w:r w:rsidRPr="003E2160">
        <w:rPr>
          <w:rFonts w:ascii="Carlito" w:hAnsi="Carlito"/>
          <w:color w:val="FF3399"/>
          <w:sz w:val="20"/>
          <w:szCs w:val="20"/>
        </w:rPr>
        <w:t xml:space="preserve">Detail any of the patient’s comorbidities that could serve as contraindications to certain other treatments </w:t>
      </w:r>
    </w:p>
    <w:p w14:paraId="5CFBD3CC" w14:textId="77777777" w:rsidR="003E2160" w:rsidRPr="003E2160" w:rsidRDefault="003E2160" w:rsidP="003E2160">
      <w:pPr>
        <w:pStyle w:val="ListParagraph"/>
        <w:numPr>
          <w:ilvl w:val="0"/>
          <w:numId w:val="2"/>
        </w:numPr>
        <w:rPr>
          <w:rFonts w:ascii="Carlito" w:hAnsi="Carlito"/>
          <w:color w:val="FF3399"/>
          <w:sz w:val="20"/>
          <w:szCs w:val="20"/>
        </w:rPr>
      </w:pPr>
      <w:r w:rsidRPr="003E2160">
        <w:rPr>
          <w:rFonts w:ascii="Carlito" w:hAnsi="Carlito"/>
          <w:color w:val="FF3399"/>
          <w:sz w:val="20"/>
          <w:szCs w:val="20"/>
        </w:rPr>
        <w:t xml:space="preserve">Explain why the health plan’s preferred therapies are not appropriate for your patient </w:t>
      </w:r>
    </w:p>
    <w:p w14:paraId="43F91B44" w14:textId="3D70EA27" w:rsidR="003E2160" w:rsidRPr="003E2160" w:rsidRDefault="003E2160" w:rsidP="003E2160">
      <w:pPr>
        <w:pStyle w:val="ListParagraph"/>
        <w:numPr>
          <w:ilvl w:val="0"/>
          <w:numId w:val="2"/>
        </w:numPr>
        <w:rPr>
          <w:rFonts w:ascii="Carlito" w:hAnsi="Carlito"/>
          <w:color w:val="FF3399"/>
          <w:sz w:val="20"/>
          <w:szCs w:val="20"/>
        </w:rPr>
      </w:pPr>
      <w:r w:rsidRPr="003E2160">
        <w:rPr>
          <w:rFonts w:ascii="Carlito" w:hAnsi="Carlito"/>
          <w:color w:val="FF3399"/>
          <w:sz w:val="20"/>
          <w:szCs w:val="20"/>
        </w:rPr>
        <w:lastRenderedPageBreak/>
        <w:t>If you</w:t>
      </w:r>
      <w:r w:rsidR="00BD4AB5">
        <w:rPr>
          <w:rFonts w:ascii="Carlito" w:hAnsi="Carlito"/>
          <w:color w:val="FF3399"/>
          <w:sz w:val="20"/>
          <w:szCs w:val="20"/>
        </w:rPr>
        <w:t>r</w:t>
      </w:r>
      <w:r w:rsidRPr="003E2160">
        <w:rPr>
          <w:rFonts w:ascii="Carlito" w:hAnsi="Carlito"/>
          <w:color w:val="FF3399"/>
          <w:sz w:val="20"/>
          <w:szCs w:val="20"/>
        </w:rPr>
        <w:t xml:space="preserve"> patient is already taking PLUVICTO, describe their response to PLUVICTO and explain why it is not in the best interest of your patient to stop or switch therapies </w:t>
      </w:r>
    </w:p>
    <w:p w14:paraId="4697D798" w14:textId="5927DB45" w:rsidR="003E2160" w:rsidRPr="003E2160" w:rsidRDefault="003E2160" w:rsidP="003E2160">
      <w:pPr>
        <w:pStyle w:val="ListParagraph"/>
        <w:numPr>
          <w:ilvl w:val="0"/>
          <w:numId w:val="2"/>
        </w:numPr>
        <w:rPr>
          <w:rFonts w:ascii="Carlito" w:hAnsi="Carlito"/>
          <w:color w:val="FF3399"/>
          <w:sz w:val="20"/>
          <w:szCs w:val="20"/>
        </w:rPr>
      </w:pPr>
      <w:r w:rsidRPr="003E2160">
        <w:rPr>
          <w:rFonts w:ascii="Carlito" w:hAnsi="Carlito"/>
          <w:color w:val="FF3399"/>
          <w:sz w:val="20"/>
          <w:szCs w:val="20"/>
        </w:rPr>
        <w:t>Provide your professional opinion of the patient’s likely prognosis or disease progression without treatment with PLUVICTO</w:t>
      </w:r>
      <w:r w:rsidR="008B6899">
        <w:rPr>
          <w:rFonts w:ascii="Carlito" w:hAnsi="Carlito"/>
          <w:color w:val="FF3399"/>
          <w:sz w:val="20"/>
          <w:szCs w:val="20"/>
        </w:rPr>
        <w:t>]</w:t>
      </w:r>
      <w:r w:rsidRPr="003E2160">
        <w:rPr>
          <w:rFonts w:ascii="Carlito" w:hAnsi="Carlito"/>
          <w:color w:val="FF3399"/>
          <w:sz w:val="20"/>
          <w:szCs w:val="20"/>
        </w:rPr>
        <w:t xml:space="preserve"> </w:t>
      </w:r>
    </w:p>
    <w:p w14:paraId="21D252A2" w14:textId="77777777" w:rsidR="00A97F26" w:rsidRPr="000209A5" w:rsidRDefault="00A97F26" w:rsidP="00C76FC3">
      <w:pPr>
        <w:rPr>
          <w:rFonts w:ascii="Carlito" w:hAnsi="Carlito"/>
          <w:color w:val="FF2F92"/>
          <w:sz w:val="20"/>
          <w:szCs w:val="20"/>
        </w:rPr>
      </w:pPr>
    </w:p>
    <w:p w14:paraId="640DBEAF" w14:textId="794EDA0A" w:rsidR="00C76FC3" w:rsidRPr="000209A5" w:rsidRDefault="00C76FC3" w:rsidP="00C76FC3">
      <w:pPr>
        <w:rPr>
          <w:rFonts w:ascii="Carlito" w:hAnsi="Carlito"/>
          <w:sz w:val="20"/>
          <w:szCs w:val="20"/>
        </w:rPr>
      </w:pPr>
      <w:r w:rsidRPr="000209A5">
        <w:rPr>
          <w:rFonts w:ascii="Carlito" w:hAnsi="Carlito"/>
          <w:sz w:val="20"/>
          <w:szCs w:val="20"/>
        </w:rPr>
        <w:t xml:space="preserve">In my medical judgment, this patient is an appropriate candidate for treatment with </w:t>
      </w:r>
      <w:r w:rsidR="00942B2E" w:rsidRPr="000209A5">
        <w:rPr>
          <w:rFonts w:ascii="Carlito" w:hAnsi="Carlito"/>
          <w:sz w:val="20"/>
          <w:szCs w:val="20"/>
        </w:rPr>
        <w:t>PLUVICTO</w:t>
      </w:r>
      <w:r w:rsidRPr="000209A5">
        <w:rPr>
          <w:rFonts w:ascii="Carlito" w:hAnsi="Carlito"/>
          <w:sz w:val="20"/>
          <w:szCs w:val="20"/>
        </w:rPr>
        <w:t xml:space="preserve">. I have included the </w:t>
      </w:r>
      <w:r w:rsidR="003E3F8B" w:rsidRPr="000209A5">
        <w:rPr>
          <w:rFonts w:ascii="Carlito" w:hAnsi="Carlito"/>
          <w:sz w:val="20"/>
          <w:szCs w:val="20"/>
        </w:rPr>
        <w:t xml:space="preserve">full </w:t>
      </w:r>
      <w:r w:rsidR="000970E7">
        <w:rPr>
          <w:rFonts w:ascii="Carlito" w:hAnsi="Carlito"/>
          <w:sz w:val="20"/>
          <w:szCs w:val="20"/>
        </w:rPr>
        <w:t>p</w:t>
      </w:r>
      <w:r w:rsidR="003E3F8B" w:rsidRPr="000209A5">
        <w:rPr>
          <w:rFonts w:ascii="Carlito" w:hAnsi="Carlito"/>
          <w:sz w:val="20"/>
          <w:szCs w:val="20"/>
        </w:rPr>
        <w:t xml:space="preserve">rescribing </w:t>
      </w:r>
      <w:r w:rsidR="000970E7">
        <w:rPr>
          <w:rFonts w:ascii="Carlito" w:hAnsi="Carlito"/>
          <w:sz w:val="20"/>
          <w:szCs w:val="20"/>
        </w:rPr>
        <w:t>i</w:t>
      </w:r>
      <w:r w:rsidR="003E3F8B" w:rsidRPr="000209A5">
        <w:rPr>
          <w:rFonts w:ascii="Carlito" w:hAnsi="Carlito"/>
          <w:sz w:val="20"/>
          <w:szCs w:val="20"/>
        </w:rPr>
        <w:t>nformation</w:t>
      </w:r>
      <w:r w:rsidRPr="000209A5">
        <w:rPr>
          <w:rFonts w:ascii="Carlito" w:hAnsi="Carlito"/>
          <w:sz w:val="20"/>
          <w:szCs w:val="20"/>
        </w:rPr>
        <w:t xml:space="preserve"> for </w:t>
      </w:r>
      <w:r w:rsidR="00942B2E" w:rsidRPr="000209A5">
        <w:rPr>
          <w:rFonts w:ascii="Carlito" w:hAnsi="Carlito"/>
          <w:sz w:val="20"/>
          <w:szCs w:val="20"/>
        </w:rPr>
        <w:t>PLUVICTO</w:t>
      </w:r>
      <w:r w:rsidRPr="000209A5">
        <w:rPr>
          <w:rFonts w:ascii="Carlito" w:hAnsi="Carlito"/>
          <w:sz w:val="20"/>
          <w:szCs w:val="20"/>
        </w:rPr>
        <w:t>, as well as supporting clinical data.</w:t>
      </w:r>
    </w:p>
    <w:p w14:paraId="4EAE7747" w14:textId="77777777" w:rsidR="00712887" w:rsidRPr="000209A5" w:rsidRDefault="00712887" w:rsidP="00C76FC3">
      <w:pPr>
        <w:rPr>
          <w:rFonts w:ascii="Carlito" w:hAnsi="Carlito"/>
          <w:sz w:val="20"/>
          <w:szCs w:val="20"/>
        </w:rPr>
      </w:pPr>
    </w:p>
    <w:p w14:paraId="7E592386" w14:textId="68CC7F36" w:rsidR="00C76FC3" w:rsidRPr="000209A5" w:rsidRDefault="00C76FC3" w:rsidP="00C76FC3">
      <w:pPr>
        <w:rPr>
          <w:rFonts w:ascii="Carlito" w:hAnsi="Carlito"/>
          <w:sz w:val="20"/>
          <w:szCs w:val="20"/>
        </w:rPr>
      </w:pPr>
      <w:r w:rsidRPr="000209A5">
        <w:rPr>
          <w:rFonts w:ascii="Carlito" w:hAnsi="Carlito"/>
          <w:sz w:val="20"/>
          <w:szCs w:val="20"/>
        </w:rPr>
        <w:t xml:space="preserve">If you have any further questions about this matter, please feel free to contact me at </w:t>
      </w:r>
      <w:r w:rsidRPr="000209A5">
        <w:rPr>
          <w:rFonts w:ascii="Carlito" w:hAnsi="Carlito"/>
          <w:color w:val="FF2F92"/>
          <w:sz w:val="20"/>
          <w:szCs w:val="20"/>
        </w:rPr>
        <w:t xml:space="preserve">[physician phone number] </w:t>
      </w:r>
      <w:r w:rsidRPr="000209A5">
        <w:rPr>
          <w:rFonts w:ascii="Carlito" w:hAnsi="Carlito"/>
          <w:sz w:val="20"/>
          <w:szCs w:val="20"/>
        </w:rPr>
        <w:t xml:space="preserve">or via email at </w:t>
      </w:r>
      <w:r w:rsidRPr="000209A5">
        <w:rPr>
          <w:rFonts w:ascii="Carlito" w:hAnsi="Carlito"/>
          <w:color w:val="FF2F92"/>
          <w:sz w:val="20"/>
          <w:szCs w:val="20"/>
        </w:rPr>
        <w:t>[physician email]</w:t>
      </w:r>
      <w:r w:rsidRPr="000209A5">
        <w:rPr>
          <w:rFonts w:ascii="Carlito" w:hAnsi="Carlito"/>
          <w:sz w:val="20"/>
          <w:szCs w:val="20"/>
        </w:rPr>
        <w:t>. Thank you for your time and consideration.</w:t>
      </w:r>
    </w:p>
    <w:p w14:paraId="71E93B9D" w14:textId="1610C30F" w:rsidR="00A065FB" w:rsidRPr="000209A5" w:rsidRDefault="00A065FB" w:rsidP="00C76FC3">
      <w:pPr>
        <w:rPr>
          <w:rFonts w:ascii="Carlito" w:hAnsi="Carlito"/>
          <w:sz w:val="20"/>
          <w:szCs w:val="20"/>
        </w:rPr>
      </w:pPr>
    </w:p>
    <w:p w14:paraId="094FB11F" w14:textId="150F58BF" w:rsidR="00A065FB" w:rsidRPr="000209A5" w:rsidRDefault="00C76FC3" w:rsidP="00C76FC3">
      <w:pPr>
        <w:rPr>
          <w:rFonts w:ascii="Carlito" w:hAnsi="Carlito"/>
          <w:sz w:val="20"/>
          <w:szCs w:val="20"/>
        </w:rPr>
      </w:pPr>
      <w:r w:rsidRPr="000209A5">
        <w:rPr>
          <w:rFonts w:ascii="Carlito" w:hAnsi="Carlito"/>
          <w:sz w:val="20"/>
          <w:szCs w:val="20"/>
        </w:rPr>
        <w:t>Sincerely,</w:t>
      </w:r>
    </w:p>
    <w:p w14:paraId="19807CDA" w14:textId="566B1F46" w:rsidR="006E5794" w:rsidRPr="000209A5" w:rsidRDefault="006E5794" w:rsidP="00C76FC3">
      <w:pPr>
        <w:rPr>
          <w:rFonts w:ascii="Carlito" w:hAnsi="Carlito"/>
          <w:color w:val="FF2F92"/>
          <w:sz w:val="20"/>
          <w:szCs w:val="20"/>
        </w:rPr>
      </w:pPr>
    </w:p>
    <w:p w14:paraId="00C49A6B" w14:textId="71E22516" w:rsidR="00C76FC3" w:rsidRPr="000209A5" w:rsidRDefault="00C76FC3" w:rsidP="00C76FC3">
      <w:pPr>
        <w:rPr>
          <w:rFonts w:ascii="Carlito" w:hAnsi="Carlito"/>
          <w:color w:val="FF2F92"/>
          <w:sz w:val="20"/>
          <w:szCs w:val="20"/>
        </w:rPr>
      </w:pPr>
      <w:r w:rsidRPr="000209A5">
        <w:rPr>
          <w:rFonts w:ascii="Carlito" w:hAnsi="Carlito"/>
          <w:color w:val="FF2F92"/>
          <w:sz w:val="20"/>
          <w:szCs w:val="20"/>
        </w:rPr>
        <w:t>[Physician’s signature] [Physician name] [Physician NPI] [Name of practice] [Phone number]</w:t>
      </w:r>
    </w:p>
    <w:p w14:paraId="1164B5EB" w14:textId="7407EA8D" w:rsidR="00C76FC3" w:rsidRDefault="00C76FC3" w:rsidP="00C76FC3">
      <w:pPr>
        <w:rPr>
          <w:rFonts w:ascii="Carlito" w:hAnsi="Carlito"/>
          <w:color w:val="FF2F92"/>
          <w:sz w:val="20"/>
          <w:szCs w:val="20"/>
        </w:rPr>
      </w:pPr>
      <w:r w:rsidRPr="000209A5">
        <w:rPr>
          <w:rFonts w:ascii="Carlito" w:hAnsi="Carlito"/>
          <w:sz w:val="20"/>
          <w:szCs w:val="20"/>
        </w:rPr>
        <w:t xml:space="preserve">Enclosures: </w:t>
      </w:r>
      <w:r w:rsidRPr="000209A5">
        <w:rPr>
          <w:rFonts w:ascii="Carlito" w:hAnsi="Carlito"/>
          <w:color w:val="FF2F92"/>
          <w:sz w:val="20"/>
          <w:szCs w:val="20"/>
        </w:rPr>
        <w:t xml:space="preserve">[List and attach additional documents, which may include </w:t>
      </w:r>
      <w:r w:rsidR="000970E7">
        <w:rPr>
          <w:rFonts w:ascii="Carlito" w:hAnsi="Carlito"/>
          <w:color w:val="FF2F92"/>
          <w:sz w:val="20"/>
          <w:szCs w:val="20"/>
        </w:rPr>
        <w:t>p</w:t>
      </w:r>
      <w:r w:rsidRPr="000209A5">
        <w:rPr>
          <w:rFonts w:ascii="Carlito" w:hAnsi="Carlito"/>
          <w:color w:val="FF2F92"/>
          <w:sz w:val="20"/>
          <w:szCs w:val="20"/>
        </w:rPr>
        <w:t xml:space="preserve">rescribing </w:t>
      </w:r>
      <w:r w:rsidR="000970E7">
        <w:rPr>
          <w:rFonts w:ascii="Carlito" w:hAnsi="Carlito"/>
          <w:color w:val="FF2F92"/>
          <w:sz w:val="20"/>
          <w:szCs w:val="20"/>
        </w:rPr>
        <w:t>i</w:t>
      </w:r>
      <w:r w:rsidRPr="000209A5">
        <w:rPr>
          <w:rFonts w:ascii="Carlito" w:hAnsi="Carlito"/>
          <w:color w:val="FF2F92"/>
          <w:sz w:val="20"/>
          <w:szCs w:val="20"/>
        </w:rPr>
        <w:t>nformation, clinical notes/medical records,</w:t>
      </w:r>
      <w:r w:rsidR="00DF14D6" w:rsidRPr="000209A5">
        <w:rPr>
          <w:rFonts w:ascii="Carlito" w:hAnsi="Carlito"/>
          <w:color w:val="FF2F92"/>
          <w:sz w:val="20"/>
          <w:szCs w:val="20"/>
        </w:rPr>
        <w:t xml:space="preserve"> testing or imaging results</w:t>
      </w:r>
      <w:r w:rsidR="000970E7">
        <w:rPr>
          <w:rFonts w:ascii="Carlito" w:hAnsi="Carlito"/>
          <w:color w:val="FF2F92"/>
          <w:sz w:val="20"/>
          <w:szCs w:val="20"/>
        </w:rPr>
        <w:t>,</w:t>
      </w:r>
      <w:r w:rsidRPr="000209A5">
        <w:rPr>
          <w:rFonts w:ascii="Carlito" w:hAnsi="Carlito"/>
          <w:color w:val="FF2F92"/>
          <w:sz w:val="20"/>
          <w:szCs w:val="20"/>
        </w:rPr>
        <w:t xml:space="preserve"> clinical studies and efficacy data, PA number, and/or clinical practice guidelines.]</w:t>
      </w:r>
    </w:p>
    <w:p w14:paraId="46D182BA" w14:textId="313AADA0" w:rsidR="003E2160" w:rsidRDefault="003E2160" w:rsidP="00C76FC3">
      <w:pPr>
        <w:rPr>
          <w:rFonts w:ascii="Carlito" w:hAnsi="Carlito"/>
          <w:color w:val="FF2F92"/>
          <w:sz w:val="20"/>
          <w:szCs w:val="20"/>
        </w:rPr>
      </w:pPr>
    </w:p>
    <w:p w14:paraId="4C88B5C7" w14:textId="3742D087" w:rsidR="003E2160" w:rsidRDefault="003E2160" w:rsidP="00C76FC3">
      <w:pPr>
        <w:rPr>
          <w:rFonts w:ascii="Carlito" w:hAnsi="Carlito"/>
          <w:color w:val="FF2F92"/>
          <w:sz w:val="20"/>
          <w:szCs w:val="20"/>
        </w:rPr>
      </w:pPr>
      <w:r w:rsidRPr="000209A5">
        <w:rPr>
          <w:noProof/>
          <w:color w:val="FF2F92"/>
          <w:sz w:val="20"/>
          <w:szCs w:val="20"/>
        </w:rPr>
        <mc:AlternateContent>
          <mc:Choice Requires="wps">
            <w:drawing>
              <wp:anchor distT="0" distB="0" distL="114300" distR="114300" simplePos="0" relativeHeight="251659264" behindDoc="0" locked="0" layoutInCell="1" allowOverlap="1" wp14:anchorId="7B0BDE3C" wp14:editId="436A5AB8">
                <wp:simplePos x="0" y="0"/>
                <wp:positionH relativeFrom="column">
                  <wp:posOffset>-92710</wp:posOffset>
                </wp:positionH>
                <wp:positionV relativeFrom="paragraph">
                  <wp:posOffset>49530</wp:posOffset>
                </wp:positionV>
                <wp:extent cx="6370320" cy="768985"/>
                <wp:effectExtent l="12700" t="12700" r="17780" b="18415"/>
                <wp:wrapNone/>
                <wp:docPr id="1" name="Rectangle 1"/>
                <wp:cNvGraphicFramePr/>
                <a:graphic xmlns:a="http://schemas.openxmlformats.org/drawingml/2006/main">
                  <a:graphicData uri="http://schemas.microsoft.com/office/word/2010/wordprocessingShape">
                    <wps:wsp>
                      <wps:cNvSpPr/>
                      <wps:spPr>
                        <a:xfrm>
                          <a:off x="0" y="0"/>
                          <a:ext cx="6370320" cy="7689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978B7" w14:textId="05C9F702" w:rsidR="003D251C" w:rsidRPr="003D251C" w:rsidRDefault="003D251C" w:rsidP="003D251C">
                            <w:pPr>
                              <w:rPr>
                                <w:color w:val="000000" w:themeColor="text1"/>
                                <w:sz w:val="20"/>
                                <w:szCs w:val="20"/>
                              </w:rPr>
                            </w:pPr>
                            <w:r w:rsidRPr="003D251C">
                              <w:rPr>
                                <w:i/>
                                <w:iCs/>
                                <w:color w:val="000000" w:themeColor="text1"/>
                                <w:sz w:val="20"/>
                                <w:szCs w:val="20"/>
                              </w:rPr>
                              <w:t>This letter is provided as an example and is meant for educational purposes only. Novartis cannot guarantee insurance coverage or reimbursement. Coverage and reimbursement may vary significantly by payer, plan, patient, and setting of care. It is the sole responsibility of the health care provider to include the proper information and ensure the accuracy of all statements used in seeking coverage and reimbursement for an individual patient.</w:t>
                            </w:r>
                          </w:p>
                          <w:p w14:paraId="05843DE1" w14:textId="0538E571" w:rsidR="003D251C" w:rsidRDefault="003D251C" w:rsidP="003D25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0BDE3C" id="Rectangle 1" o:spid="_x0000_s1026" style="position:absolute;margin-left:-7.3pt;margin-top:3.9pt;width:501.6pt;height:6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1z0igIAAHMFAAAOAAAAZHJzL2Uyb0RvYy54bWysVEtv2zAMvg/YfxB0X+2kTR9BnSJI0WFA&#10;0QZrh54VWYoFyKImKbGzXz9KfiToih2G5aBQJvmR/ETy9q6tNdkL5xWYgk7OckqE4VAqsy3oj9eH&#10;L9eU+MBMyTQYUdCD8PRu8fnTbWPnYgoV6FI4giDGzxtb0CoEO88yzytRM38GVhhUSnA1C3h126x0&#10;rEH0WmfTPL/MGnCldcCF9/j1vlPSRcKXUvDwLKUXgeiCYm4hnS6dm3hmi1s23zpmK8X7NNg/ZFEz&#10;ZTDoCHXPAiM7p/6AqhV34EGGMw51BlIqLlINWM0kf1fNS8WsSLUgOd6ONPn/B8uf9i927ZCGxvq5&#10;RzFW0UpXx3/Mj7SJrMNIlmgD4fjx8vwqP58ipxx1V5fXN9ezyGZ29LbOh68CahKFgjp8jMQR2z/6&#10;0JkOJjGYgQeldXoQbUiD3XSTz/Lk4UGrMmqjXeoNsdKO7Bm+amgnfdwTK8xCG0zmWFSSwkGLCKHN&#10;dyGJKrGMaRcg9tsRk3EuTJh0qoqVogs1y/E3BBs8UskJMCJLTHLE7gEGyw5kwO4I6O2jq0jtOjr3&#10;lf/NefRIkcGE0blWBtxHlWmsqo/c2Q8kddRElkK7adEkihsoD2tHHHRz4y1/UPiWj8yHNXM4KPj8&#10;OPzhGQ+pAd8MeomSCtyvj75He+xf1FLS4OAV1P/cMSco0d8MdvbN5OIiTmq6XMyuYou5U83mVGN2&#10;9QqwCya4ZixPYrQPehClg/oNd8QyRkUVMxxjF5QHN1xWoVsIuGW4WC6TGU6nZeHRvFgewSPBsVdf&#10;2zfmbN/QAUfhCYYhZfN3fd3ZRk8Dy10AqVLTH3ntqcfJTj3Ub6G4Ok7vyeq4Kxe/AQAA//8DAFBL&#10;AwQUAAYACAAAACEAiIfYVt4AAAAJAQAADwAAAGRycy9kb3ducmV2LnhtbEyPwU7DMBBE70j8g7VI&#10;3FqnBZU0xKlQgUogLg1cenPibRwRr6PYTcPfsz3BcTSjmTf5ZnKdGHEIrScFi3kCAqn2pqVGwdfn&#10;6ywFEaImoztPqOAHA2yK66tcZ8afaY9jGRvBJRQyrcDG2GdShtqi02HueyT2jn5wOrIcGmkGfeZy&#10;18llkqyk0y3xgtU9bi3W3+XJKTj21d3HYX9IyurtffuyM1Y+j1ap25vp6RFExCn+heGCz+hQMFPl&#10;T2SC6BTMFvcrjip44Afsr9OUdcXBZboGWeTy/4PiFwAA//8DAFBLAQItABQABgAIAAAAIQC2gziS&#10;/gAAAOEBAAATAAAAAAAAAAAAAAAAAAAAAABbQ29udGVudF9UeXBlc10ueG1sUEsBAi0AFAAGAAgA&#10;AAAhADj9If/WAAAAlAEAAAsAAAAAAAAAAAAAAAAALwEAAF9yZWxzLy5yZWxzUEsBAi0AFAAGAAgA&#10;AAAhAL0fXPSKAgAAcwUAAA4AAAAAAAAAAAAAAAAALgIAAGRycy9lMm9Eb2MueG1sUEsBAi0AFAAG&#10;AAgAAAAhAIiH2FbeAAAACQEAAA8AAAAAAAAAAAAAAAAA5AQAAGRycy9kb3ducmV2LnhtbFBLBQYA&#10;AAAABAAEAPMAAADvBQAAAAA=&#10;" filled="f" strokecolor="black [3213]" strokeweight="1.5pt">
                <v:textbox>
                  <w:txbxContent>
                    <w:p w14:paraId="6D1978B7" w14:textId="05C9F702" w:rsidR="003D251C" w:rsidRPr="003D251C" w:rsidRDefault="003D251C" w:rsidP="003D251C">
                      <w:pPr>
                        <w:rPr>
                          <w:color w:val="000000" w:themeColor="text1"/>
                          <w:sz w:val="20"/>
                          <w:szCs w:val="20"/>
                        </w:rPr>
                      </w:pPr>
                      <w:r w:rsidRPr="003D251C">
                        <w:rPr>
                          <w:i/>
                          <w:iCs/>
                          <w:color w:val="000000" w:themeColor="text1"/>
                          <w:sz w:val="20"/>
                          <w:szCs w:val="20"/>
                        </w:rPr>
                        <w:t>This letter is provided as an example and is meant for educational purposes only. Novartis cannot guarantee insurance coverage or reimbursement. Coverage and reimbursement may vary significantly by payer, plan, patient, and setting of care. It is the sole responsibility of the health care provider to include the proper information and ensure the accuracy of all statements used in seeking coverage and reimbursement for an individual patient.</w:t>
                      </w:r>
                    </w:p>
                    <w:p w14:paraId="05843DE1" w14:textId="0538E571" w:rsidR="003D251C" w:rsidRDefault="003D251C" w:rsidP="003D251C">
                      <w:pPr>
                        <w:jc w:val="center"/>
                      </w:pPr>
                    </w:p>
                  </w:txbxContent>
                </v:textbox>
              </v:rect>
            </w:pict>
          </mc:Fallback>
        </mc:AlternateContent>
      </w:r>
    </w:p>
    <w:p w14:paraId="2D23C32A" w14:textId="270E5189" w:rsidR="003E2160" w:rsidRPr="000209A5" w:rsidRDefault="003E2160" w:rsidP="00C76FC3">
      <w:pPr>
        <w:rPr>
          <w:rFonts w:ascii="Carlito" w:hAnsi="Carlito"/>
          <w:color w:val="FF2F92"/>
          <w:sz w:val="20"/>
          <w:szCs w:val="20"/>
        </w:rPr>
      </w:pPr>
    </w:p>
    <w:p w14:paraId="7852410E" w14:textId="13B2C528" w:rsidR="00AC18E9" w:rsidRDefault="00AC18E9" w:rsidP="00C76FC3">
      <w:pPr>
        <w:rPr>
          <w:rFonts w:ascii="Carlito" w:hAnsi="Carlito"/>
          <w:color w:val="FF2F92"/>
          <w:sz w:val="20"/>
          <w:szCs w:val="20"/>
        </w:rPr>
      </w:pPr>
    </w:p>
    <w:p w14:paraId="6C8DC9A7" w14:textId="12663CE5" w:rsidR="003D251C" w:rsidRPr="000209A5" w:rsidRDefault="003D251C" w:rsidP="00C76FC3">
      <w:pPr>
        <w:rPr>
          <w:color w:val="FF2F92"/>
          <w:sz w:val="20"/>
          <w:szCs w:val="20"/>
        </w:rPr>
      </w:pPr>
    </w:p>
    <w:p w14:paraId="090BAF4E" w14:textId="4970CE69" w:rsidR="00EB193E" w:rsidRPr="000209A5" w:rsidRDefault="00EB193E" w:rsidP="00C76FC3">
      <w:pPr>
        <w:rPr>
          <w:b/>
          <w:bCs/>
          <w:color w:val="7030A0"/>
          <w:sz w:val="20"/>
          <w:szCs w:val="20"/>
        </w:rPr>
      </w:pPr>
    </w:p>
    <w:p w14:paraId="0EBE752D" w14:textId="725E377D" w:rsidR="00C11FFB" w:rsidRDefault="00C11FFB" w:rsidP="00412F08">
      <w:pPr>
        <w:rPr>
          <w:b/>
          <w:bCs/>
          <w:color w:val="1B4092"/>
          <w:sz w:val="18"/>
          <w:szCs w:val="18"/>
        </w:rPr>
      </w:pPr>
    </w:p>
    <w:p w14:paraId="7D1ED555" w14:textId="0DD1D6A3" w:rsidR="00412F08" w:rsidRPr="00A12615" w:rsidRDefault="00412F08" w:rsidP="00412F08">
      <w:pPr>
        <w:rPr>
          <w:b/>
          <w:bCs/>
          <w:color w:val="1B4092"/>
          <w:sz w:val="18"/>
          <w:szCs w:val="18"/>
        </w:rPr>
      </w:pPr>
      <w:r w:rsidRPr="003D251C">
        <w:rPr>
          <w:b/>
          <w:bCs/>
          <w:color w:val="1B4092"/>
          <w:sz w:val="18"/>
          <w:szCs w:val="18"/>
        </w:rPr>
        <w:t>INDICATION &amp; IMPORTANT SAFETY INFORMATION</w:t>
      </w:r>
    </w:p>
    <w:p w14:paraId="22EB2B92" w14:textId="59E89E30" w:rsidR="00412F08" w:rsidRDefault="00412F08" w:rsidP="00412F08">
      <w:pPr>
        <w:rPr>
          <w:b/>
          <w:bCs/>
          <w:color w:val="000000" w:themeColor="text1"/>
          <w:sz w:val="18"/>
          <w:szCs w:val="18"/>
        </w:rPr>
      </w:pPr>
    </w:p>
    <w:p w14:paraId="32F34619" w14:textId="62B929C9" w:rsidR="00412F08" w:rsidRPr="00382162" w:rsidRDefault="00044977" w:rsidP="00412F08">
      <w:pPr>
        <w:spacing w:line="360" w:lineRule="auto"/>
        <w:rPr>
          <w:b/>
          <w:bCs/>
          <w:color w:val="1B4092"/>
          <w:sz w:val="18"/>
          <w:szCs w:val="18"/>
        </w:rPr>
      </w:pPr>
      <w:r w:rsidRPr="003D251C">
        <w:rPr>
          <w:b/>
          <w:bCs/>
          <w:color w:val="1B4092"/>
          <w:sz w:val="18"/>
          <w:szCs w:val="18"/>
        </w:rPr>
        <w:t>Indication</w:t>
      </w:r>
      <w:r>
        <w:rPr>
          <w:b/>
          <w:bCs/>
          <w:color w:val="1B4092"/>
          <w:sz w:val="18"/>
          <w:szCs w:val="18"/>
        </w:rPr>
        <w:t>s</w:t>
      </w:r>
    </w:p>
    <w:p w14:paraId="3FAE09EB" w14:textId="77777777" w:rsidR="00044977" w:rsidRPr="006B3390" w:rsidRDefault="00044977" w:rsidP="00044977">
      <w:pPr>
        <w:spacing w:line="276" w:lineRule="auto"/>
        <w:rPr>
          <w:rFonts w:eastAsia="Batang"/>
          <w:color w:val="000000" w:themeColor="text1"/>
          <w:sz w:val="18"/>
          <w:szCs w:val="18"/>
        </w:rPr>
      </w:pPr>
      <w:r w:rsidRPr="006B3390">
        <w:rPr>
          <w:rFonts w:eastAsia="Batang"/>
          <w:color w:val="000000" w:themeColor="text1"/>
          <w:sz w:val="18"/>
          <w:szCs w:val="18"/>
        </w:rPr>
        <w:t>PLUVICTO® (lutetium Lu 177 vipivotide tetraxetan) is indicated in combination with androgen receptor pathway inhibitor (ARPI) therapy for the treatment of adult patients with prostate-specific membrane antigen (PSMA)-positive metastatic androgen pathway modulation-naïve or -sensitive (mAPMN/S) prostate cancer.</w:t>
      </w:r>
    </w:p>
    <w:p w14:paraId="12BF607A" w14:textId="77777777" w:rsidR="00044977" w:rsidRDefault="00044977" w:rsidP="00044977">
      <w:pPr>
        <w:spacing w:line="276" w:lineRule="auto"/>
        <w:rPr>
          <w:rFonts w:eastAsia="Batang"/>
          <w:color w:val="000000" w:themeColor="text1"/>
          <w:sz w:val="18"/>
          <w:szCs w:val="18"/>
        </w:rPr>
      </w:pPr>
    </w:p>
    <w:p w14:paraId="52E4F592" w14:textId="77777777" w:rsidR="00044977" w:rsidRPr="006B3390" w:rsidRDefault="00044977" w:rsidP="00044977">
      <w:pPr>
        <w:spacing w:line="276" w:lineRule="auto"/>
        <w:rPr>
          <w:rFonts w:eastAsia="Batang"/>
          <w:color w:val="000000" w:themeColor="text1"/>
          <w:sz w:val="18"/>
          <w:szCs w:val="18"/>
        </w:rPr>
      </w:pPr>
      <w:r w:rsidRPr="006B3390">
        <w:rPr>
          <w:rFonts w:eastAsia="Batang"/>
          <w:color w:val="000000" w:themeColor="text1"/>
          <w:sz w:val="18"/>
          <w:szCs w:val="18"/>
        </w:rPr>
        <w:t>PLUVICTO is indicated for the treatment of adult patients with PSMA-positive metastatic androgen pathway modulation-resistant (mAPMR) prostate cancer who have been treated with ARPI therapy, and</w:t>
      </w:r>
    </w:p>
    <w:p w14:paraId="34ADC64B" w14:textId="77777777" w:rsidR="00044977"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are considered appropriate to delay taxane-based chemotherapy, or</w:t>
      </w:r>
    </w:p>
    <w:p w14:paraId="099D0670" w14:textId="77777777" w:rsidR="00044977"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have received prior taxane-based chemotherapy.</w:t>
      </w:r>
    </w:p>
    <w:p w14:paraId="07FDB87A" w14:textId="77777777" w:rsidR="00044977" w:rsidRPr="00044977" w:rsidRDefault="00044977" w:rsidP="00044977">
      <w:pPr>
        <w:pStyle w:val="ListParagraph"/>
        <w:spacing w:line="276" w:lineRule="auto"/>
        <w:rPr>
          <w:rFonts w:eastAsia="Batang"/>
          <w:color w:val="000000" w:themeColor="text1"/>
          <w:sz w:val="18"/>
          <w:szCs w:val="18"/>
        </w:rPr>
      </w:pPr>
    </w:p>
    <w:p w14:paraId="493C3B2E" w14:textId="77777777" w:rsidR="00044977" w:rsidRPr="00382162" w:rsidRDefault="00044977" w:rsidP="00044977">
      <w:pPr>
        <w:spacing w:line="360" w:lineRule="auto"/>
        <w:rPr>
          <w:b/>
          <w:bCs/>
          <w:color w:val="1B4092"/>
          <w:sz w:val="18"/>
          <w:szCs w:val="18"/>
        </w:rPr>
      </w:pPr>
      <w:r>
        <w:rPr>
          <w:b/>
          <w:bCs/>
          <w:color w:val="1B4092"/>
          <w:sz w:val="18"/>
          <w:szCs w:val="18"/>
        </w:rPr>
        <w:t>IMPORTANT SAFETY INFORMATION</w:t>
      </w:r>
    </w:p>
    <w:p w14:paraId="26B728AE" w14:textId="77777777" w:rsidR="00044977" w:rsidRPr="00382162" w:rsidRDefault="00044977" w:rsidP="00044977">
      <w:pPr>
        <w:spacing w:line="276" w:lineRule="auto"/>
        <w:rPr>
          <w:b/>
          <w:bCs/>
          <w:color w:val="3978BF"/>
          <w:sz w:val="18"/>
          <w:szCs w:val="18"/>
        </w:rPr>
      </w:pPr>
      <w:r w:rsidRPr="003D251C">
        <w:rPr>
          <w:b/>
          <w:bCs/>
          <w:color w:val="3978BF"/>
          <w:sz w:val="18"/>
          <w:szCs w:val="18"/>
        </w:rPr>
        <w:t>Risk From Radiation Exposure</w:t>
      </w:r>
    </w:p>
    <w:p w14:paraId="5BA0744D"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PLUVICTO contributes to a patient’s long-term cumulative radiation exposure, which is associated with an increased risk for cancer.</w:t>
      </w:r>
    </w:p>
    <w:p w14:paraId="359A86B0"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Minimize radiation exposure to patients, medical personnel, and others during and after treatment with PLUVICTO consistent with institutional practices, patient treatment procedures, Nuclear Regulatory Commission patient-release guidance, and instructions to the patient for follow-up radiation protection.</w:t>
      </w:r>
    </w:p>
    <w:p w14:paraId="042DEA2E"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Ensure patients increase oral fluid intake and advise them to void as often as possible to reduce bladder radiation.</w:t>
      </w:r>
    </w:p>
    <w:p w14:paraId="707D8AD3"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To minimize radiation exposure to others, advise patients to limit close contact (less than 3 feet) with others for 2 days or with children and pregnant women for 7 days, to refrain from sexual activity for 7 days, and to sleep in a separate room from others for 3 days, from children for 7 days, or from pregnant women for 15 days.</w:t>
      </w:r>
    </w:p>
    <w:p w14:paraId="345936FE" w14:textId="77777777" w:rsidR="00F14444" w:rsidRPr="00F14444" w:rsidRDefault="00F14444" w:rsidP="00F14444">
      <w:pPr>
        <w:pStyle w:val="ListParagraph"/>
        <w:spacing w:line="276" w:lineRule="auto"/>
        <w:rPr>
          <w:rFonts w:eastAsia="Batang"/>
          <w:color w:val="000000" w:themeColor="text1"/>
          <w:sz w:val="14"/>
          <w:szCs w:val="14"/>
        </w:rPr>
      </w:pPr>
    </w:p>
    <w:p w14:paraId="0EB5410E" w14:textId="77777777" w:rsidR="00044977" w:rsidRDefault="00044977" w:rsidP="00044977">
      <w:pPr>
        <w:spacing w:line="276" w:lineRule="auto"/>
        <w:rPr>
          <w:rFonts w:eastAsia="Batang"/>
          <w:color w:val="000000" w:themeColor="text1"/>
          <w:sz w:val="18"/>
          <w:szCs w:val="18"/>
        </w:rPr>
      </w:pPr>
      <w:r w:rsidRPr="00A12615">
        <w:rPr>
          <w:b/>
          <w:bCs/>
          <w:color w:val="3978C0"/>
          <w:sz w:val="18"/>
          <w:szCs w:val="18"/>
        </w:rPr>
        <w:t>Myelosuppression</w:t>
      </w:r>
    </w:p>
    <w:p w14:paraId="5A8D64D7"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PLUVICTO can cause severe and life-threatening myelosuppression. In clinical trials (PSMAddition, PSMAfore, VISION) grade 3 or 4 decreased hemoglobin (ranged from 4.3-15%), decreased leukocytes (4.4-7%), decreased neutrophils (3.5-4.5%), and decreased platelets (1.1-9%) occurred in patients treated with PLUVICTO. 5 myelosuppression-related deaths have occurred, including one due to bone marrow failure during long-term follow-up.</w:t>
      </w:r>
    </w:p>
    <w:p w14:paraId="7D627321" w14:textId="77777777" w:rsidR="00044977"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Perform complete blood counts before and during treatment with PLUVICTO. Withhold, reduce dose, or permanently discontinue PLUVICTO based on severity of myelosuppression.</w:t>
      </w:r>
    </w:p>
    <w:p w14:paraId="0AFC7908" w14:textId="77777777" w:rsidR="00E8197A" w:rsidRDefault="00E8197A" w:rsidP="00E8197A">
      <w:pPr>
        <w:pStyle w:val="ListParagraph"/>
        <w:widowControl w:val="0"/>
        <w:autoSpaceDE w:val="0"/>
        <w:autoSpaceDN w:val="0"/>
        <w:spacing w:line="276" w:lineRule="auto"/>
        <w:contextualSpacing w:val="0"/>
        <w:rPr>
          <w:rFonts w:eastAsia="Batang"/>
          <w:color w:val="000000" w:themeColor="text1"/>
          <w:sz w:val="18"/>
          <w:szCs w:val="18"/>
        </w:rPr>
      </w:pPr>
    </w:p>
    <w:p w14:paraId="07510ECB" w14:textId="04DD75B7" w:rsidR="00044977" w:rsidRPr="00382162" w:rsidRDefault="00044977" w:rsidP="00044977">
      <w:pPr>
        <w:spacing w:line="276" w:lineRule="auto"/>
        <w:rPr>
          <w:rFonts w:eastAsia="Batang"/>
          <w:b/>
          <w:bCs/>
          <w:color w:val="3978C0"/>
          <w:sz w:val="18"/>
          <w:szCs w:val="18"/>
        </w:rPr>
      </w:pPr>
      <w:r w:rsidRPr="00A12615">
        <w:rPr>
          <w:rFonts w:eastAsia="Batang"/>
          <w:b/>
          <w:bCs/>
          <w:color w:val="3978C0"/>
          <w:sz w:val="18"/>
          <w:szCs w:val="18"/>
        </w:rPr>
        <w:t>Renal Toxicity</w:t>
      </w:r>
    </w:p>
    <w:p w14:paraId="4BB12CC1"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PLUVICTO can cause severe renal toxicity. In clinical trials grade 3 or 4 acute kidney injury (ranged from 1.3-3.4%) occurred in patients treated with PLUVICTO.</w:t>
      </w:r>
    </w:p>
    <w:p w14:paraId="670ECBFE"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Advise patients to remain well hydrated and to urinate frequently before and after administration of PLUVICTO. Perform kidney function laboratory tests, including serum creatinine and calculated creatinine clearance (CrCl), before and during treatment. Withhold, reduce dose, or permanently discontinue PLUVICTO based on severity of renal toxicity.</w:t>
      </w:r>
    </w:p>
    <w:p w14:paraId="4CFBE948" w14:textId="77777777" w:rsidR="00F14444" w:rsidRPr="00F14444" w:rsidRDefault="00F14444" w:rsidP="00F14444">
      <w:pPr>
        <w:pStyle w:val="ListParagraph"/>
        <w:spacing w:line="276" w:lineRule="auto"/>
        <w:rPr>
          <w:rFonts w:eastAsia="Batang"/>
          <w:color w:val="000000" w:themeColor="text1"/>
          <w:sz w:val="14"/>
          <w:szCs w:val="14"/>
        </w:rPr>
      </w:pPr>
    </w:p>
    <w:p w14:paraId="578366CD" w14:textId="77777777" w:rsidR="00044977" w:rsidRDefault="00044977" w:rsidP="00044977">
      <w:pPr>
        <w:spacing w:line="276" w:lineRule="auto"/>
        <w:rPr>
          <w:color w:val="000000" w:themeColor="text1"/>
          <w:sz w:val="18"/>
          <w:szCs w:val="18"/>
        </w:rPr>
      </w:pPr>
      <w:r w:rsidRPr="00A12615">
        <w:rPr>
          <w:rFonts w:eastAsia="Batang"/>
          <w:b/>
          <w:bCs/>
          <w:color w:val="3978C0"/>
          <w:sz w:val="18"/>
          <w:szCs w:val="18"/>
        </w:rPr>
        <w:t>Embryo-Fetal Toxicity</w:t>
      </w:r>
    </w:p>
    <w:p w14:paraId="670BA089" w14:textId="77777777" w:rsidR="00044977" w:rsidRPr="006B3390"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The safety and efficacy of PLUVICTO have not been established in females. Based on its mechanism of action, PLUVICTO can cause fetal harm. No animal studies using lutetium Lu 177 vipivotide tetraxetan have been conducted to evaluate its effect on female reproduction and embryo-fetal development; however, radioactive emissions, including those from PLUVICTO, can cause fetal harm. Advise males with female partners of reproductive potential to use effective contraception during treatment with PLUVICTO and for 14 weeks after the last dose.</w:t>
      </w:r>
    </w:p>
    <w:p w14:paraId="77315F19" w14:textId="77777777" w:rsidR="00F14444" w:rsidRPr="00F14444" w:rsidRDefault="00F14444" w:rsidP="00F14444">
      <w:pPr>
        <w:pStyle w:val="ListParagraph"/>
        <w:spacing w:line="276" w:lineRule="auto"/>
        <w:rPr>
          <w:rFonts w:eastAsia="Batang"/>
          <w:color w:val="000000" w:themeColor="text1"/>
          <w:sz w:val="14"/>
          <w:szCs w:val="14"/>
        </w:rPr>
      </w:pPr>
    </w:p>
    <w:p w14:paraId="49D3B95C" w14:textId="77777777" w:rsidR="00044977" w:rsidRPr="00382162" w:rsidRDefault="00044977" w:rsidP="00044977">
      <w:pPr>
        <w:spacing w:line="276" w:lineRule="auto"/>
        <w:rPr>
          <w:b/>
          <w:bCs/>
          <w:color w:val="3978C0"/>
          <w:sz w:val="18"/>
          <w:szCs w:val="18"/>
        </w:rPr>
      </w:pPr>
      <w:r w:rsidRPr="00A12615">
        <w:rPr>
          <w:b/>
          <w:bCs/>
          <w:color w:val="3978C0"/>
          <w:sz w:val="18"/>
          <w:szCs w:val="18"/>
        </w:rPr>
        <w:t>Infertility</w:t>
      </w:r>
    </w:p>
    <w:p w14:paraId="3434E61E" w14:textId="73605BC8" w:rsidR="00044977" w:rsidRPr="00273D03" w:rsidRDefault="00044977" w:rsidP="00044977">
      <w:pPr>
        <w:pStyle w:val="ListParagraph"/>
        <w:widowControl w:val="0"/>
        <w:numPr>
          <w:ilvl w:val="0"/>
          <w:numId w:val="7"/>
        </w:numPr>
        <w:autoSpaceDE w:val="0"/>
        <w:autoSpaceDN w:val="0"/>
        <w:spacing w:line="276" w:lineRule="auto"/>
        <w:contextualSpacing w:val="0"/>
        <w:rPr>
          <w:rFonts w:eastAsia="Batang"/>
          <w:color w:val="000000" w:themeColor="text1"/>
          <w:sz w:val="18"/>
          <w:szCs w:val="18"/>
        </w:rPr>
      </w:pPr>
      <w:r w:rsidRPr="006B3390">
        <w:rPr>
          <w:rFonts w:eastAsia="Batang"/>
          <w:color w:val="000000" w:themeColor="text1"/>
          <w:sz w:val="18"/>
          <w:szCs w:val="18"/>
        </w:rPr>
        <w:t>The recommended cumulative dose of 44.4 GBq of PLUVICTO results in a radiation-absorbed dose to the testes within the range where PLUVICTO may cause temporary or permanent infertility.</w:t>
      </w:r>
    </w:p>
    <w:p w14:paraId="3C1A2A28" w14:textId="77777777" w:rsidR="00F14444" w:rsidRPr="00F14444" w:rsidRDefault="00F14444" w:rsidP="00F14444">
      <w:pPr>
        <w:pStyle w:val="ListParagraph"/>
        <w:spacing w:line="276" w:lineRule="auto"/>
        <w:rPr>
          <w:rFonts w:eastAsia="Batang"/>
          <w:color w:val="000000" w:themeColor="text1"/>
          <w:sz w:val="14"/>
          <w:szCs w:val="14"/>
        </w:rPr>
      </w:pPr>
    </w:p>
    <w:p w14:paraId="6C6CE7C9" w14:textId="77777777" w:rsidR="00044977" w:rsidRPr="00382162" w:rsidRDefault="00044977" w:rsidP="00044977">
      <w:pPr>
        <w:spacing w:line="276" w:lineRule="auto"/>
        <w:rPr>
          <w:b/>
          <w:bCs/>
          <w:color w:val="3978C0"/>
          <w:sz w:val="18"/>
          <w:szCs w:val="18"/>
        </w:rPr>
      </w:pPr>
      <w:r w:rsidRPr="00A12615">
        <w:rPr>
          <w:b/>
          <w:bCs/>
          <w:color w:val="3978C0"/>
          <w:sz w:val="18"/>
          <w:szCs w:val="18"/>
        </w:rPr>
        <w:t>Adverse Reactions and Laboratory Abnormalities</w:t>
      </w:r>
    </w:p>
    <w:p w14:paraId="2904F086" w14:textId="77777777" w:rsidR="00044977" w:rsidRPr="00851D4E" w:rsidRDefault="00044977" w:rsidP="00044977">
      <w:pPr>
        <w:pStyle w:val="Text"/>
        <w:numPr>
          <w:ilvl w:val="0"/>
          <w:numId w:val="8"/>
        </w:numPr>
        <w:spacing w:before="0" w:afterLines="100" w:after="240"/>
        <w:rPr>
          <w:sz w:val="20"/>
          <w:lang w:eastAsia="ko-KR"/>
        </w:rPr>
      </w:pPr>
      <w:r w:rsidRPr="006B3390">
        <w:rPr>
          <w:rFonts w:ascii="Carlito" w:hAnsi="Carlito" w:cs="Carlito"/>
          <w:color w:val="000000" w:themeColor="text1"/>
          <w:sz w:val="18"/>
          <w:szCs w:val="18"/>
        </w:rPr>
        <w:t>In the pooled safety population for the PSMAddition, PSMAfore and VISION studies (N=1320), the most common (≥20%) adverse reactions, including laboratory abnormalities, were decreased lymphocytes (86%), decreased hemoglobin (68%), fatigue (51%), dry mouth (46%), decreased neutrophils (35%), nausea (35%), decreased platelets (33%), decreased estimated glomerular filtration rate (28%), increased aspartate aminotransferase (25%), decreased sodium (22%), increased magnesium (22%), increased potassium (21%), decreased calcium (21%), and increased alkaline phosphatase (20%)</w:t>
      </w:r>
      <w:r w:rsidRPr="121A1084">
        <w:rPr>
          <w:sz w:val="20"/>
          <w:lang w:eastAsia="ko-KR"/>
        </w:rPr>
        <w:t>.</w:t>
      </w:r>
    </w:p>
    <w:p w14:paraId="3D8C0ABD" w14:textId="77777777" w:rsidR="00044977" w:rsidRDefault="00044977" w:rsidP="00044977">
      <w:pPr>
        <w:spacing w:line="276" w:lineRule="auto"/>
        <w:rPr>
          <w:b/>
          <w:bCs/>
          <w:color w:val="000000" w:themeColor="text1"/>
          <w:sz w:val="18"/>
          <w:szCs w:val="18"/>
        </w:rPr>
      </w:pPr>
    </w:p>
    <w:p w14:paraId="4084C821" w14:textId="21B9E0CC" w:rsidR="00044977" w:rsidRPr="00044977" w:rsidRDefault="00044977" w:rsidP="00044977">
      <w:pPr>
        <w:spacing w:afterLines="100" w:after="240"/>
        <w:rPr>
          <w:b/>
          <w:bCs/>
          <w:sz w:val="18"/>
          <w:szCs w:val="18"/>
        </w:rPr>
      </w:pPr>
      <w:r w:rsidRPr="00044977">
        <w:rPr>
          <w:b/>
          <w:bCs/>
          <w:sz w:val="18"/>
          <w:szCs w:val="18"/>
        </w:rPr>
        <w:t>Please see full </w:t>
      </w:r>
      <w:hyperlink r:id="rId10" w:tgtFrame="_blank" w:history="1">
        <w:r w:rsidRPr="00044977">
          <w:rPr>
            <w:rStyle w:val="Hyperlink"/>
            <w:b/>
            <w:bCs/>
            <w:sz w:val="18"/>
            <w:szCs w:val="18"/>
          </w:rPr>
          <w:t>Prescribing Information</w:t>
        </w:r>
      </w:hyperlink>
      <w:r w:rsidRPr="00044977">
        <w:rPr>
          <w:b/>
          <w:bCs/>
          <w:sz w:val="18"/>
          <w:szCs w:val="18"/>
        </w:rPr>
        <w:t>.</w:t>
      </w:r>
    </w:p>
    <w:p w14:paraId="65ABD5AB" w14:textId="77777777" w:rsidR="00F258A2" w:rsidRDefault="00F258A2" w:rsidP="00F258A2">
      <w:pPr>
        <w:pStyle w:val="BodyText"/>
        <w:spacing w:before="36" w:line="256" w:lineRule="auto"/>
        <w:ind w:left="0" w:right="178"/>
        <w:rPr>
          <w:color w:val="171516"/>
        </w:rPr>
      </w:pPr>
    </w:p>
    <w:p w14:paraId="1B5FE713" w14:textId="77777777" w:rsidR="00115F85" w:rsidRDefault="00115F85" w:rsidP="00F258A2">
      <w:pPr>
        <w:pStyle w:val="BodyText"/>
        <w:spacing w:before="36" w:line="256" w:lineRule="auto"/>
        <w:ind w:left="0" w:right="178"/>
        <w:rPr>
          <w:color w:val="171516"/>
        </w:rPr>
      </w:pPr>
    </w:p>
    <w:p w14:paraId="21AE0173" w14:textId="77777777" w:rsidR="00F258A2" w:rsidRDefault="00F258A2" w:rsidP="00F258A2">
      <w:pPr>
        <w:pStyle w:val="BodyText"/>
        <w:spacing w:before="36" w:line="256" w:lineRule="auto"/>
        <w:ind w:left="0" w:right="178"/>
        <w:rPr>
          <w:color w:val="171516"/>
        </w:rPr>
      </w:pPr>
    </w:p>
    <w:p w14:paraId="121919C2" w14:textId="77777777" w:rsidR="00F258A2" w:rsidRDefault="00F258A2" w:rsidP="00F258A2">
      <w:pPr>
        <w:pStyle w:val="BodyText"/>
        <w:spacing w:before="36" w:line="256" w:lineRule="auto"/>
        <w:ind w:left="0" w:right="178"/>
        <w:rPr>
          <w:color w:val="171516"/>
        </w:rPr>
      </w:pPr>
    </w:p>
    <w:p w14:paraId="0FE27E88" w14:textId="77777777" w:rsidR="00F258A2" w:rsidRDefault="00F258A2" w:rsidP="00F258A2">
      <w:pPr>
        <w:pStyle w:val="BodyText"/>
        <w:spacing w:before="36" w:line="256" w:lineRule="auto"/>
        <w:ind w:left="0" w:right="178"/>
        <w:rPr>
          <w:color w:val="171516"/>
        </w:rPr>
      </w:pPr>
    </w:p>
    <w:p w14:paraId="13C0625A" w14:textId="77777777" w:rsidR="00F258A2" w:rsidRDefault="00F258A2" w:rsidP="00F258A2">
      <w:pPr>
        <w:pStyle w:val="BodyText"/>
        <w:spacing w:before="36" w:line="256" w:lineRule="auto"/>
        <w:ind w:left="0" w:right="178"/>
        <w:rPr>
          <w:color w:val="171516"/>
        </w:rPr>
      </w:pPr>
    </w:p>
    <w:p w14:paraId="2B6C5EEE" w14:textId="77777777" w:rsidR="00115F85" w:rsidRDefault="00115F85" w:rsidP="00F258A2">
      <w:pPr>
        <w:pStyle w:val="BodyText"/>
        <w:spacing w:before="36" w:line="256" w:lineRule="auto"/>
        <w:ind w:left="0" w:right="178"/>
        <w:rPr>
          <w:color w:val="171516"/>
        </w:rPr>
      </w:pPr>
    </w:p>
    <w:p w14:paraId="674B45FE" w14:textId="77777777" w:rsidR="00115F85" w:rsidRDefault="00115F85" w:rsidP="00F258A2">
      <w:pPr>
        <w:pStyle w:val="BodyText"/>
        <w:spacing w:before="36" w:line="256" w:lineRule="auto"/>
        <w:ind w:left="0" w:right="178"/>
        <w:rPr>
          <w:color w:val="171516"/>
        </w:rPr>
      </w:pPr>
    </w:p>
    <w:p w14:paraId="0DB13FE4" w14:textId="77777777" w:rsidR="00115F85" w:rsidRDefault="00115F85" w:rsidP="00F258A2">
      <w:pPr>
        <w:pStyle w:val="BodyText"/>
        <w:spacing w:before="36" w:line="256" w:lineRule="auto"/>
        <w:ind w:left="0" w:right="178"/>
        <w:rPr>
          <w:color w:val="171516"/>
        </w:rPr>
      </w:pPr>
    </w:p>
    <w:p w14:paraId="23D41F02" w14:textId="1CE4B1CE" w:rsidR="00494B3D" w:rsidRDefault="00494B3D" w:rsidP="00F258A2">
      <w:pPr>
        <w:pStyle w:val="BodyText"/>
        <w:spacing w:before="36" w:line="256" w:lineRule="auto"/>
        <w:ind w:left="0" w:right="178"/>
        <w:rPr>
          <w:color w:val="171516"/>
        </w:rPr>
      </w:pPr>
    </w:p>
    <w:p w14:paraId="18DC7BC1" w14:textId="77777777" w:rsidR="00FE3AFD" w:rsidRDefault="00FE3AFD" w:rsidP="00F258A2">
      <w:pPr>
        <w:pStyle w:val="BodyText"/>
        <w:spacing w:before="36" w:line="256" w:lineRule="auto"/>
        <w:ind w:left="0" w:right="178"/>
        <w:rPr>
          <w:color w:val="171516"/>
        </w:rPr>
      </w:pPr>
    </w:p>
    <w:p w14:paraId="7FEC3E9F" w14:textId="048DC4A4" w:rsidR="00115F85" w:rsidRDefault="00115F85" w:rsidP="00F258A2">
      <w:pPr>
        <w:pStyle w:val="BodyText"/>
        <w:spacing w:before="36" w:line="256" w:lineRule="auto"/>
        <w:ind w:left="0" w:right="178"/>
        <w:rPr>
          <w:color w:val="171516"/>
        </w:rPr>
      </w:pPr>
    </w:p>
    <w:p w14:paraId="5988C711" w14:textId="77777777" w:rsidR="00115F85" w:rsidRDefault="00115F85" w:rsidP="00F258A2">
      <w:pPr>
        <w:pStyle w:val="BodyText"/>
        <w:spacing w:before="36" w:line="256" w:lineRule="auto"/>
        <w:ind w:left="0" w:right="178"/>
        <w:rPr>
          <w:color w:val="171516"/>
        </w:rPr>
      </w:pPr>
    </w:p>
    <w:p w14:paraId="786AC05C" w14:textId="77777777" w:rsidR="00273D03" w:rsidRDefault="00273D03" w:rsidP="00F258A2">
      <w:pPr>
        <w:pStyle w:val="BodyText"/>
        <w:spacing w:before="36" w:line="256" w:lineRule="auto"/>
        <w:ind w:left="0" w:right="178"/>
        <w:rPr>
          <w:color w:val="171516"/>
        </w:rPr>
      </w:pPr>
    </w:p>
    <w:p w14:paraId="2FA3A1B6" w14:textId="77777777" w:rsidR="00273D03" w:rsidRDefault="00273D03" w:rsidP="00F258A2">
      <w:pPr>
        <w:pStyle w:val="BodyText"/>
        <w:spacing w:before="36" w:line="256" w:lineRule="auto"/>
        <w:ind w:left="0" w:right="178"/>
        <w:rPr>
          <w:color w:val="171516"/>
        </w:rPr>
      </w:pPr>
    </w:p>
    <w:p w14:paraId="300D0555" w14:textId="217D2889" w:rsidR="00F258A2" w:rsidRDefault="006D6BEE" w:rsidP="00F258A2">
      <w:pPr>
        <w:pStyle w:val="BodyText"/>
        <w:spacing w:before="36" w:line="256" w:lineRule="auto"/>
        <w:ind w:left="0" w:right="178"/>
        <w:rPr>
          <w:color w:val="171516"/>
        </w:rPr>
      </w:pPr>
      <w:r>
        <w:rPr>
          <w:noProof/>
          <w:color w:val="171516"/>
          <w:sz w:val="18"/>
          <w:szCs w:val="18"/>
        </w:rPr>
        <w:drawing>
          <wp:anchor distT="0" distB="0" distL="114300" distR="114300" simplePos="0" relativeHeight="251671552" behindDoc="1" locked="0" layoutInCell="1" allowOverlap="1" wp14:anchorId="02190618" wp14:editId="0D52905E">
            <wp:simplePos x="0" y="0"/>
            <wp:positionH relativeFrom="column">
              <wp:posOffset>-494665</wp:posOffset>
            </wp:positionH>
            <wp:positionV relativeFrom="paragraph">
              <wp:posOffset>215105</wp:posOffset>
            </wp:positionV>
            <wp:extent cx="1931350" cy="664777"/>
            <wp:effectExtent l="0" t="0" r="0" b="0"/>
            <wp:wrapNone/>
            <wp:docPr id="79199710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97106" name="Graphic 791997106"/>
                    <pic:cNvPicPr/>
                  </pic:nvPicPr>
                  <pic:blipFill>
                    <a:blip r:embed="rId11">
                      <a:extLst>
                        <a:ext uri="{96DAC541-7B7A-43D3-8B79-37D633B846F1}">
                          <asvg:svgBlip xmlns:asvg="http://schemas.microsoft.com/office/drawing/2016/SVG/main" r:embed="rId12"/>
                        </a:ext>
                      </a:extLst>
                    </a:blip>
                    <a:stretch>
                      <a:fillRect/>
                    </a:stretch>
                  </pic:blipFill>
                  <pic:spPr>
                    <a:xfrm>
                      <a:off x="0" y="0"/>
                      <a:ext cx="1931350" cy="664777"/>
                    </a:xfrm>
                    <a:prstGeom prst="rect">
                      <a:avLst/>
                    </a:prstGeom>
                  </pic:spPr>
                </pic:pic>
              </a:graphicData>
            </a:graphic>
            <wp14:sizeRelH relativeFrom="page">
              <wp14:pctWidth>0</wp14:pctWidth>
            </wp14:sizeRelH>
            <wp14:sizeRelV relativeFrom="page">
              <wp14:pctHeight>0</wp14:pctHeight>
            </wp14:sizeRelV>
          </wp:anchor>
        </w:drawing>
      </w:r>
    </w:p>
    <w:p w14:paraId="0A32B12E" w14:textId="730DAF54" w:rsidR="006D6BEE" w:rsidRPr="00115F85" w:rsidRDefault="00115F85" w:rsidP="006D6BEE">
      <w:pPr>
        <w:pStyle w:val="BodyText"/>
        <w:spacing w:before="36" w:line="256" w:lineRule="auto"/>
        <w:ind w:left="0" w:right="178"/>
        <w:rPr>
          <w:color w:val="171516"/>
        </w:rPr>
      </w:pPr>
      <w:r w:rsidRPr="00115F85">
        <w:rPr>
          <w:b/>
          <w:bCs/>
          <w:noProof/>
          <w:color w:val="000000" w:themeColor="text1"/>
          <w:sz w:val="18"/>
          <w:szCs w:val="18"/>
        </w:rPr>
        <mc:AlternateContent>
          <mc:Choice Requires="wps">
            <w:drawing>
              <wp:anchor distT="45720" distB="45720" distL="114300" distR="114300" simplePos="0" relativeHeight="251673600" behindDoc="0" locked="0" layoutInCell="1" allowOverlap="1" wp14:anchorId="665E329C" wp14:editId="049F180D">
                <wp:simplePos x="0" y="0"/>
                <wp:positionH relativeFrom="column">
                  <wp:posOffset>-88900</wp:posOffset>
                </wp:positionH>
                <wp:positionV relativeFrom="paragraph">
                  <wp:posOffset>573405</wp:posOffset>
                </wp:positionV>
                <wp:extent cx="68453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FFFFFF"/>
                        </a:solidFill>
                        <a:ln w="9525">
                          <a:noFill/>
                          <a:miter lim="800000"/>
                          <a:headEnd/>
                          <a:tailEnd/>
                        </a:ln>
                      </wps:spPr>
                      <wps:txbx>
                        <w:txbxContent>
                          <w:p w14:paraId="725502EB" w14:textId="1C79F689" w:rsidR="00115F85" w:rsidRPr="000A47EE" w:rsidRDefault="00115F85" w:rsidP="00115F85">
                            <w:pPr>
                              <w:pStyle w:val="BodyText"/>
                              <w:spacing w:before="36" w:line="256" w:lineRule="auto"/>
                              <w:ind w:left="0" w:right="178"/>
                              <w:rPr>
                                <w:b/>
                                <w:bCs/>
                                <w:color w:val="000000" w:themeColor="text1"/>
                                <w:sz w:val="18"/>
                                <w:szCs w:val="18"/>
                              </w:rPr>
                            </w:pPr>
                            <w:r>
                              <w:rPr>
                                <w:b/>
                                <w:bCs/>
                                <w:color w:val="000000" w:themeColor="text1"/>
                                <w:sz w:val="18"/>
                                <w:szCs w:val="18"/>
                              </w:rPr>
                              <w:t>Novartis Pharmaceuticals Corporation</w:t>
                            </w:r>
                          </w:p>
                          <w:p w14:paraId="4B188751" w14:textId="21B1E86A" w:rsidR="00115F85" w:rsidRPr="00115F85" w:rsidRDefault="00115F85" w:rsidP="00115F85">
                            <w:pPr>
                              <w:pStyle w:val="BodyText"/>
                              <w:spacing w:before="36" w:line="256" w:lineRule="auto"/>
                              <w:ind w:left="0" w:right="178"/>
                              <w:rPr>
                                <w:color w:val="171516"/>
                                <w:sz w:val="18"/>
                                <w:szCs w:val="18"/>
                              </w:rPr>
                            </w:pPr>
                            <w:r w:rsidRPr="00CD70E6">
                              <w:rPr>
                                <w:color w:val="171516"/>
                                <w:sz w:val="18"/>
                                <w:szCs w:val="18"/>
                              </w:rPr>
                              <w:t>East Hanover, New Jersey 07936-1080</w:t>
                            </w:r>
                            <w:r w:rsidRPr="00CD70E6">
                              <w:rPr>
                                <w:color w:val="171516"/>
                                <w:sz w:val="18"/>
                                <w:szCs w:val="18"/>
                              </w:rPr>
                              <w:tab/>
                            </w:r>
                            <w:r>
                              <w:rPr>
                                <w:color w:val="171516"/>
                                <w:sz w:val="18"/>
                                <w:szCs w:val="18"/>
                              </w:rPr>
                              <w:tab/>
                            </w:r>
                            <w:r>
                              <w:rPr>
                                <w:color w:val="171516"/>
                                <w:sz w:val="18"/>
                                <w:szCs w:val="18"/>
                              </w:rPr>
                              <w:tab/>
                            </w:r>
                            <w:r w:rsidRPr="00CD70E6">
                              <w:rPr>
                                <w:color w:val="171516"/>
                                <w:sz w:val="18"/>
                                <w:szCs w:val="18"/>
                              </w:rPr>
                              <w:t>© 2026 Novartis</w:t>
                            </w:r>
                            <w:r>
                              <w:rPr>
                                <w:color w:val="171516"/>
                                <w:sz w:val="18"/>
                                <w:szCs w:val="18"/>
                              </w:rPr>
                              <w:tab/>
                            </w:r>
                            <w:r>
                              <w:rPr>
                                <w:color w:val="171516"/>
                                <w:sz w:val="18"/>
                                <w:szCs w:val="18"/>
                              </w:rPr>
                              <w:tab/>
                            </w:r>
                            <w:r>
                              <w:rPr>
                                <w:color w:val="171516"/>
                                <w:sz w:val="18"/>
                                <w:szCs w:val="18"/>
                              </w:rPr>
                              <w:tab/>
                            </w:r>
                            <w:r w:rsidR="00044977">
                              <w:rPr>
                                <w:color w:val="171516"/>
                                <w:sz w:val="18"/>
                                <w:szCs w:val="18"/>
                              </w:rPr>
                              <w:t>7</w:t>
                            </w:r>
                            <w:r w:rsidRPr="00CD70E6">
                              <w:rPr>
                                <w:color w:val="171516"/>
                                <w:sz w:val="18"/>
                                <w:szCs w:val="18"/>
                              </w:rPr>
                              <w:t>/26</w:t>
                            </w:r>
                            <w:r>
                              <w:rPr>
                                <w:color w:val="171516"/>
                                <w:sz w:val="18"/>
                                <w:szCs w:val="18"/>
                              </w:rPr>
                              <w:tab/>
                            </w:r>
                            <w:r>
                              <w:rPr>
                                <w:color w:val="171516"/>
                                <w:sz w:val="18"/>
                                <w:szCs w:val="18"/>
                              </w:rPr>
                              <w:tab/>
                            </w:r>
                            <w:r w:rsidRPr="006D6BEE">
                              <w:rPr>
                                <w:color w:val="171516"/>
                                <w:sz w:val="18"/>
                                <w:szCs w:val="18"/>
                              </w:rPr>
                              <w:t>FA-11675028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E329C" id="_x0000_t202" coordsize="21600,21600" o:spt="202" path="m,l,21600r21600,l21600,xe">
                <v:stroke joinstyle="miter"/>
                <v:path gradientshapeok="t" o:connecttype="rect"/>
              </v:shapetype>
              <v:shape id="Text Box 2" o:spid="_x0000_s1027" type="#_x0000_t202" style="position:absolute;margin-left:-7pt;margin-top:45.15pt;width:539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ttEAIAAP4DAAAOAAAAZHJzL2Uyb0RvYy54bWysk92O2yAQhe8r9R0Q942d1EmzVpzVNttU&#10;lbY/0rYPgAHHqJihQGKnT98Be7PR9q6qLxB44DDzzWFzO3SanKTzCkxF57OcEmk4CGUOFf3xff9m&#10;TYkPzAimwciKnqWnt9vXrza9LeUCWtBCOoIixpe9rWgbgi2zzPNWdszPwEqDwQZcxwIu3SETjvWo&#10;3ulskeerrAcnrAMuvce/92OQbpN+00gevjaNl4HoimJuIY0ujXUcs+2GlQfHbKv4lAb7hyw6pgxe&#10;epG6Z4GRo1N/SXWKO/DQhBmHLoOmUVymGrCaef6imseWWZlqQTjeXjD5/yfLv5we7TdHwvAeBmxg&#10;KsLbB+A/PTGwa5k5yDvnoG8lE3jxPCLLeuvL6WhE7UsfRer+MwhsMjsGSEJD47pIBeskqI4NOF+g&#10;yyEQjj9X62L5NscQx9i8yIvVIrUlY+XTcet8+CihI3FSUYddTfLs9OBDTIeVT1vibR60EnuldVq4&#10;Q73TjpwYOmCfvlTBi23akL6iN8vFMikbiOeTOToV0KFadRVd5/EbPRNxfDAibQlM6XGOmWgz8YlI&#10;RjhhqAeixAQv4qpBnBGYg9GQ+IBw0oL7TUmPZqyo/3VkTlKiPxmEfjMviujetCiW75AQcdeR+jrC&#10;DEepigZKxukuJMcnHPYOm7NXCdtzJlPKaLJEc3oQ0cXX67Tr+dlu/wAAAP//AwBQSwMEFAAGAAgA&#10;AAAhAAz0f+rfAAAACwEAAA8AAABkcnMvZG93bnJldi54bWxMj81OwzAQhO9IvIO1SNxaO5RWELKp&#10;KiouHJAoSHB0400cEf/IdtPw9jgnepyd0ew31XYyAxspxN5ZhGIpgJFtnOpth/D58bJ4ABaTtEoO&#10;zhLCL0XY1tdXlSyVO9t3Gg+pY7nExlIi6JR8yXlsNBkZl86TzV7rgpEpy9BxFeQ5l5uB3wmx4Ub2&#10;Nn/Q0tOzpubncDIIX0b3ah/evls1jPvXdrf2U/CItzfT7glYoin9h2HGz+hQZ6ajO1kV2YCwKO7z&#10;loTwKFbA5oDYzJcjwqoo1sDril9uqP8AAAD//wMAUEsBAi0AFAAGAAgAAAAhALaDOJL+AAAA4QEA&#10;ABMAAAAAAAAAAAAAAAAAAAAAAFtDb250ZW50X1R5cGVzXS54bWxQSwECLQAUAAYACAAAACEAOP0h&#10;/9YAAACUAQAACwAAAAAAAAAAAAAAAAAvAQAAX3JlbHMvLnJlbHNQSwECLQAUAAYACAAAACEAHuIb&#10;bRACAAD+AwAADgAAAAAAAAAAAAAAAAAuAgAAZHJzL2Uyb0RvYy54bWxQSwECLQAUAAYACAAAACEA&#10;DPR/6t8AAAALAQAADwAAAAAAAAAAAAAAAABqBAAAZHJzL2Rvd25yZXYueG1sUEsFBgAAAAAEAAQA&#10;8wAAAHYFAAAAAA==&#10;" stroked="f">
                <v:textbox style="mso-fit-shape-to-text:t">
                  <w:txbxContent>
                    <w:p w14:paraId="725502EB" w14:textId="1C79F689" w:rsidR="00115F85" w:rsidRPr="000A47EE" w:rsidRDefault="00115F85" w:rsidP="00115F85">
                      <w:pPr>
                        <w:pStyle w:val="BodyText"/>
                        <w:spacing w:before="36" w:line="256" w:lineRule="auto"/>
                        <w:ind w:left="0" w:right="178"/>
                        <w:rPr>
                          <w:b/>
                          <w:bCs/>
                          <w:color w:val="000000" w:themeColor="text1"/>
                          <w:sz w:val="18"/>
                          <w:szCs w:val="18"/>
                        </w:rPr>
                      </w:pPr>
                      <w:r>
                        <w:rPr>
                          <w:b/>
                          <w:bCs/>
                          <w:color w:val="000000" w:themeColor="text1"/>
                          <w:sz w:val="18"/>
                          <w:szCs w:val="18"/>
                        </w:rPr>
                        <w:t>Novartis Pharmaceuticals Corporation</w:t>
                      </w:r>
                    </w:p>
                    <w:p w14:paraId="4B188751" w14:textId="21B1E86A" w:rsidR="00115F85" w:rsidRPr="00115F85" w:rsidRDefault="00115F85" w:rsidP="00115F85">
                      <w:pPr>
                        <w:pStyle w:val="BodyText"/>
                        <w:spacing w:before="36" w:line="256" w:lineRule="auto"/>
                        <w:ind w:left="0" w:right="178"/>
                        <w:rPr>
                          <w:color w:val="171516"/>
                          <w:sz w:val="18"/>
                          <w:szCs w:val="18"/>
                        </w:rPr>
                      </w:pPr>
                      <w:r w:rsidRPr="00CD70E6">
                        <w:rPr>
                          <w:color w:val="171516"/>
                          <w:sz w:val="18"/>
                          <w:szCs w:val="18"/>
                        </w:rPr>
                        <w:t>East Hanover, New Jersey 07936-1080</w:t>
                      </w:r>
                      <w:r w:rsidRPr="00CD70E6">
                        <w:rPr>
                          <w:color w:val="171516"/>
                          <w:sz w:val="18"/>
                          <w:szCs w:val="18"/>
                        </w:rPr>
                        <w:tab/>
                      </w:r>
                      <w:r>
                        <w:rPr>
                          <w:color w:val="171516"/>
                          <w:sz w:val="18"/>
                          <w:szCs w:val="18"/>
                        </w:rPr>
                        <w:tab/>
                      </w:r>
                      <w:r>
                        <w:rPr>
                          <w:color w:val="171516"/>
                          <w:sz w:val="18"/>
                          <w:szCs w:val="18"/>
                        </w:rPr>
                        <w:tab/>
                      </w:r>
                      <w:r w:rsidRPr="00CD70E6">
                        <w:rPr>
                          <w:color w:val="171516"/>
                          <w:sz w:val="18"/>
                          <w:szCs w:val="18"/>
                        </w:rPr>
                        <w:t>© 2026 Novartis</w:t>
                      </w:r>
                      <w:r>
                        <w:rPr>
                          <w:color w:val="171516"/>
                          <w:sz w:val="18"/>
                          <w:szCs w:val="18"/>
                        </w:rPr>
                        <w:tab/>
                      </w:r>
                      <w:r>
                        <w:rPr>
                          <w:color w:val="171516"/>
                          <w:sz w:val="18"/>
                          <w:szCs w:val="18"/>
                        </w:rPr>
                        <w:tab/>
                      </w:r>
                      <w:r>
                        <w:rPr>
                          <w:color w:val="171516"/>
                          <w:sz w:val="18"/>
                          <w:szCs w:val="18"/>
                        </w:rPr>
                        <w:tab/>
                      </w:r>
                      <w:r w:rsidR="00044977">
                        <w:rPr>
                          <w:color w:val="171516"/>
                          <w:sz w:val="18"/>
                          <w:szCs w:val="18"/>
                        </w:rPr>
                        <w:t>7</w:t>
                      </w:r>
                      <w:r w:rsidRPr="00CD70E6">
                        <w:rPr>
                          <w:color w:val="171516"/>
                          <w:sz w:val="18"/>
                          <w:szCs w:val="18"/>
                        </w:rPr>
                        <w:t>/26</w:t>
                      </w:r>
                      <w:r>
                        <w:rPr>
                          <w:color w:val="171516"/>
                          <w:sz w:val="18"/>
                          <w:szCs w:val="18"/>
                        </w:rPr>
                        <w:tab/>
                      </w:r>
                      <w:r>
                        <w:rPr>
                          <w:color w:val="171516"/>
                          <w:sz w:val="18"/>
                          <w:szCs w:val="18"/>
                        </w:rPr>
                        <w:tab/>
                      </w:r>
                      <w:r w:rsidRPr="006D6BEE">
                        <w:rPr>
                          <w:color w:val="171516"/>
                          <w:sz w:val="18"/>
                          <w:szCs w:val="18"/>
                        </w:rPr>
                        <w:t>FA-11675028</w:t>
                      </w:r>
                    </w:p>
                  </w:txbxContent>
                </v:textbox>
              </v:shape>
            </w:pict>
          </mc:Fallback>
        </mc:AlternateContent>
      </w:r>
    </w:p>
    <w:sectPr w:rsidR="006D6BEE" w:rsidRPr="00115F85" w:rsidSect="00F14444">
      <w:footerReference w:type="even" r:id="rId13"/>
      <w:pgSz w:w="12240" w:h="15840"/>
      <w:pgMar w:top="1139" w:right="1440" w:bottom="117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6D41" w14:textId="77777777" w:rsidR="000F5971" w:rsidRDefault="000F5971" w:rsidP="00712887">
      <w:r>
        <w:separator/>
      </w:r>
    </w:p>
  </w:endnote>
  <w:endnote w:type="continuationSeparator" w:id="0">
    <w:p w14:paraId="4ED6F8F3" w14:textId="77777777" w:rsidR="000F5971" w:rsidRDefault="000F5971" w:rsidP="0071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Batang">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E5F1" w14:textId="6AE6D0DE" w:rsidR="00D85628" w:rsidRDefault="00D85628">
    <w:pPr>
      <w:pStyle w:val="Footer"/>
    </w:pPr>
    <w:r>
      <w:rPr>
        <w:noProof/>
      </w:rPr>
      <mc:AlternateContent>
        <mc:Choice Requires="wps">
          <w:drawing>
            <wp:anchor distT="0" distB="0" distL="0" distR="0" simplePos="0" relativeHeight="251659264" behindDoc="0" locked="0" layoutInCell="1" allowOverlap="1" wp14:anchorId="33E7C2A5" wp14:editId="7866988F">
              <wp:simplePos x="635" y="635"/>
              <wp:positionH relativeFrom="page">
                <wp:align>center</wp:align>
              </wp:positionH>
              <wp:positionV relativeFrom="page">
                <wp:align>bottom</wp:align>
              </wp:positionV>
              <wp:extent cx="2895600" cy="333375"/>
              <wp:effectExtent l="0" t="0" r="0" b="0"/>
              <wp:wrapNone/>
              <wp:docPr id="790318955"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895600" cy="333375"/>
                      </a:xfrm>
                      <a:prstGeom prst="rect">
                        <a:avLst/>
                      </a:prstGeom>
                      <a:noFill/>
                      <a:ln>
                        <a:noFill/>
                      </a:ln>
                    </wps:spPr>
                    <wps:txbx>
                      <w:txbxContent>
                        <w:p w14:paraId="7E3C9295" w14:textId="74D05C01" w:rsidR="00D85628" w:rsidRPr="00D85628" w:rsidRDefault="00D85628" w:rsidP="00D85628">
                          <w:pPr>
                            <w:rPr>
                              <w:rFonts w:ascii="Calibri" w:eastAsia="Calibri" w:hAnsi="Calibri" w:cs="Calibri"/>
                              <w:noProof/>
                              <w:color w:val="000000"/>
                              <w:sz w:val="20"/>
                              <w:szCs w:val="20"/>
                            </w:rPr>
                          </w:pPr>
                          <w:r w:rsidRPr="00D85628">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E7C2A5" id="_x0000_t202" coordsize="21600,21600" o:spt="202" path="m,l,21600r21600,l21600,xe">
              <v:stroke joinstyle="miter"/>
              <v:path gradientshapeok="t" o:connecttype="rect"/>
            </v:shapetype>
            <v:shape id="_x0000_s1028" type="#_x0000_t202" alt="Confidential - Not for Public Consumption or Distribution" style="position:absolute;margin-left:0;margin-top:0;width:228pt;height:26.2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s4CgIAABYEAAAOAAAAZHJzL2Uyb0RvYy54bWysU01v2zAMvQ/YfxB0X+xkSNcacYqsRYYB&#10;QVsgHXpWZCk2IImCpMTOfv0o2U66tqdhPsjPJM2Px6fFbacVOQrnGzAlnU5ySoThUDVmX9Jfz+sv&#10;15T4wEzFFBhR0pPw9Hb5+dOitYWYQQ2qEo5gEuOL1pa0DsEWWeZ5LTTzE7DCoFOC0yzgp9tnlWMt&#10;Ztcqm+X5VdaCq6wDLrxH633vpMuUX0rBw6OUXgSiSoq9hXS6dO7imS0XrNg7ZuuGD22wf+hCs8Zg&#10;0XOqexYYObjmXSrdcAceZJhw0BlI2XCRZsBppvmbabY1syLNguR4e6bJ/7+0/OG4tU+OhO47dLjA&#10;SEhrfeHRGOfppNPxjZ0S9COFpzNtoguEo3F2fTO/ytHF0fcVn2/zmCa7/G2dDz8EaBJBSR2uJbHF&#10;jhsf+tAxJBYzsG6USqtR5i8D5oyW7NJiRKHbdUPfO6hOOI6DftPe8nWDNTfMhyfmcLXYJso1POIh&#10;FbQlhQFRUoP7/ZE9xiPj6KWkRamU1KCWKVE/DW4iqmoEbgS7BKY3+TzyYg76DlCAU7wLlieIVhfU&#10;CKUD/YJCXsVC6GKGY7mS7kZ4F3rN4kXgYrVKQSggy8LGbC2PqSNPkcTn7oU5OzAdcEcPMOqIFW8I&#10;72Pjn96uDgFpT9uInPZEDlSj+NI+h4sS1f36O0VdrvPyDwAAAP//AwBQSwMEFAAGAAgAAAAhAG+G&#10;15baAAAABAEAAA8AAABkcnMvZG93bnJldi54bWxMj8FqwkAQhu+FvsMyhd7qprERidmICJ4sBbUX&#10;b+vumMRmZ0N2o/HtO+2lvQz8/MM33xTL0bXiin1oPCl4nSQgkIy3DVUKPg+blzmIEDVZ3XpCBXcM&#10;sCwfHwqdW3+jHV73sRIMoZBrBXWMXS5lMDU6HSa+Q+Lu7HunI8e+krbXN4a7VqZJMpNON8QXat3h&#10;ukbztR+cgmwX34cPOkyPY3q/bLu1mZ63Rqnnp3G1ABFxjH/L8KPP6lCy08kPZINoFfAj8Xdy95bN&#10;OJ4YnGYgy0L+ly+/AQAA//8DAFBLAQItABQABgAIAAAAIQC2gziS/gAAAOEBAAATAAAAAAAAAAAA&#10;AAAAAAAAAABbQ29udGVudF9UeXBlc10ueG1sUEsBAi0AFAAGAAgAAAAhADj9If/WAAAAlAEAAAsA&#10;AAAAAAAAAAAAAAAALwEAAF9yZWxzLy5yZWxzUEsBAi0AFAAGAAgAAAAhACSsmzgKAgAAFgQAAA4A&#10;AAAAAAAAAAAAAAAALgIAAGRycy9lMm9Eb2MueG1sUEsBAi0AFAAGAAgAAAAhAG+G15baAAAABAEA&#10;AA8AAAAAAAAAAAAAAAAAZAQAAGRycy9kb3ducmV2LnhtbFBLBQYAAAAABAAEAPMAAABrBQAAAAA=&#10;" filled="f" stroked="f">
              <v:textbox style="mso-fit-shape-to-text:t" inset="0,0,0,15pt">
                <w:txbxContent>
                  <w:p w14:paraId="7E3C9295" w14:textId="74D05C01" w:rsidR="00D85628" w:rsidRPr="00D85628" w:rsidRDefault="00D85628" w:rsidP="00D85628">
                    <w:pPr>
                      <w:rPr>
                        <w:rFonts w:ascii="Calibri" w:eastAsia="Calibri" w:hAnsi="Calibri" w:cs="Calibri"/>
                        <w:noProof/>
                        <w:color w:val="000000"/>
                        <w:sz w:val="20"/>
                        <w:szCs w:val="20"/>
                      </w:rPr>
                    </w:pPr>
                    <w:r w:rsidRPr="00D85628">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1335" w14:textId="77777777" w:rsidR="000F5971" w:rsidRDefault="000F5971" w:rsidP="00712887">
      <w:r>
        <w:separator/>
      </w:r>
    </w:p>
  </w:footnote>
  <w:footnote w:type="continuationSeparator" w:id="0">
    <w:p w14:paraId="2E9395C6" w14:textId="77777777" w:rsidR="000F5971" w:rsidRDefault="000F5971" w:rsidP="00712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6C2C"/>
    <w:multiLevelType w:val="hybridMultilevel"/>
    <w:tmpl w:val="3B6C0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97502"/>
    <w:multiLevelType w:val="hybridMultilevel"/>
    <w:tmpl w:val="2102C644"/>
    <w:lvl w:ilvl="0" w:tplc="34620D24">
      <w:start w:val="1"/>
      <w:numFmt w:val="bullet"/>
      <w:lvlText w:val=""/>
      <w:lvlJc w:val="left"/>
      <w:pPr>
        <w:ind w:left="720" w:hanging="360"/>
      </w:pPr>
      <w:rPr>
        <w:rFonts w:ascii="Symbol" w:hAnsi="Symbol" w:hint="default"/>
      </w:rPr>
    </w:lvl>
    <w:lvl w:ilvl="1" w:tplc="5FEE97E0" w:tentative="1">
      <w:start w:val="1"/>
      <w:numFmt w:val="bullet"/>
      <w:lvlText w:val="o"/>
      <w:lvlJc w:val="left"/>
      <w:pPr>
        <w:ind w:left="1440" w:hanging="360"/>
      </w:pPr>
      <w:rPr>
        <w:rFonts w:ascii="Courier New" w:hAnsi="Courier New" w:cs="Courier New" w:hint="default"/>
      </w:rPr>
    </w:lvl>
    <w:lvl w:ilvl="2" w:tplc="DF00C7EA" w:tentative="1">
      <w:start w:val="1"/>
      <w:numFmt w:val="bullet"/>
      <w:lvlText w:val=""/>
      <w:lvlJc w:val="left"/>
      <w:pPr>
        <w:ind w:left="2160" w:hanging="360"/>
      </w:pPr>
      <w:rPr>
        <w:rFonts w:ascii="Wingdings" w:hAnsi="Wingdings" w:hint="default"/>
      </w:rPr>
    </w:lvl>
    <w:lvl w:ilvl="3" w:tplc="E79A8B08" w:tentative="1">
      <w:start w:val="1"/>
      <w:numFmt w:val="bullet"/>
      <w:lvlText w:val=""/>
      <w:lvlJc w:val="left"/>
      <w:pPr>
        <w:ind w:left="2880" w:hanging="360"/>
      </w:pPr>
      <w:rPr>
        <w:rFonts w:ascii="Symbol" w:hAnsi="Symbol" w:hint="default"/>
      </w:rPr>
    </w:lvl>
    <w:lvl w:ilvl="4" w:tplc="16F29504" w:tentative="1">
      <w:start w:val="1"/>
      <w:numFmt w:val="bullet"/>
      <w:lvlText w:val="o"/>
      <w:lvlJc w:val="left"/>
      <w:pPr>
        <w:ind w:left="3600" w:hanging="360"/>
      </w:pPr>
      <w:rPr>
        <w:rFonts w:ascii="Courier New" w:hAnsi="Courier New" w:cs="Courier New" w:hint="default"/>
      </w:rPr>
    </w:lvl>
    <w:lvl w:ilvl="5" w:tplc="4B205830" w:tentative="1">
      <w:start w:val="1"/>
      <w:numFmt w:val="bullet"/>
      <w:lvlText w:val=""/>
      <w:lvlJc w:val="left"/>
      <w:pPr>
        <w:ind w:left="4320" w:hanging="360"/>
      </w:pPr>
      <w:rPr>
        <w:rFonts w:ascii="Wingdings" w:hAnsi="Wingdings" w:hint="default"/>
      </w:rPr>
    </w:lvl>
    <w:lvl w:ilvl="6" w:tplc="7C06830A" w:tentative="1">
      <w:start w:val="1"/>
      <w:numFmt w:val="bullet"/>
      <w:lvlText w:val=""/>
      <w:lvlJc w:val="left"/>
      <w:pPr>
        <w:ind w:left="5040" w:hanging="360"/>
      </w:pPr>
      <w:rPr>
        <w:rFonts w:ascii="Symbol" w:hAnsi="Symbol" w:hint="default"/>
      </w:rPr>
    </w:lvl>
    <w:lvl w:ilvl="7" w:tplc="A086B4D6" w:tentative="1">
      <w:start w:val="1"/>
      <w:numFmt w:val="bullet"/>
      <w:lvlText w:val="o"/>
      <w:lvlJc w:val="left"/>
      <w:pPr>
        <w:ind w:left="5760" w:hanging="360"/>
      </w:pPr>
      <w:rPr>
        <w:rFonts w:ascii="Courier New" w:hAnsi="Courier New" w:cs="Courier New" w:hint="default"/>
      </w:rPr>
    </w:lvl>
    <w:lvl w:ilvl="8" w:tplc="F0AA3E38" w:tentative="1">
      <w:start w:val="1"/>
      <w:numFmt w:val="bullet"/>
      <w:lvlText w:val=""/>
      <w:lvlJc w:val="left"/>
      <w:pPr>
        <w:ind w:left="6480" w:hanging="360"/>
      </w:pPr>
      <w:rPr>
        <w:rFonts w:ascii="Wingdings" w:hAnsi="Wingdings" w:hint="default"/>
      </w:rPr>
    </w:lvl>
  </w:abstractNum>
  <w:abstractNum w:abstractNumId="2" w15:restartNumberingAfterBreak="0">
    <w:nsid w:val="15D24190"/>
    <w:multiLevelType w:val="hybridMultilevel"/>
    <w:tmpl w:val="0362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2274B"/>
    <w:multiLevelType w:val="hybridMultilevel"/>
    <w:tmpl w:val="56A2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02AD0"/>
    <w:multiLevelType w:val="hybridMultilevel"/>
    <w:tmpl w:val="9A30A35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BC1CCE"/>
    <w:multiLevelType w:val="hybridMultilevel"/>
    <w:tmpl w:val="CFDA8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D1E5A"/>
    <w:multiLevelType w:val="hybridMultilevel"/>
    <w:tmpl w:val="45EA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36515F"/>
    <w:multiLevelType w:val="hybridMultilevel"/>
    <w:tmpl w:val="EFC04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8950515">
    <w:abstractNumId w:val="5"/>
  </w:num>
  <w:num w:numId="2" w16cid:durableId="1292980242">
    <w:abstractNumId w:val="0"/>
  </w:num>
  <w:num w:numId="3" w16cid:durableId="2095011999">
    <w:abstractNumId w:val="2"/>
  </w:num>
  <w:num w:numId="4" w16cid:durableId="1052536200">
    <w:abstractNumId w:val="7"/>
  </w:num>
  <w:num w:numId="5" w16cid:durableId="135878489">
    <w:abstractNumId w:val="6"/>
  </w:num>
  <w:num w:numId="6" w16cid:durableId="620645916">
    <w:abstractNumId w:val="4"/>
  </w:num>
  <w:num w:numId="7" w16cid:durableId="1263954014">
    <w:abstractNumId w:val="3"/>
  </w:num>
  <w:num w:numId="8" w16cid:durableId="1501382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C3"/>
    <w:rsid w:val="000209A5"/>
    <w:rsid w:val="0003410F"/>
    <w:rsid w:val="00044977"/>
    <w:rsid w:val="00061A91"/>
    <w:rsid w:val="00062656"/>
    <w:rsid w:val="00081C7F"/>
    <w:rsid w:val="0009461D"/>
    <w:rsid w:val="000970E7"/>
    <w:rsid w:val="000E3D1B"/>
    <w:rsid w:val="000F5971"/>
    <w:rsid w:val="00101A4B"/>
    <w:rsid w:val="00115F85"/>
    <w:rsid w:val="001618B7"/>
    <w:rsid w:val="00172C68"/>
    <w:rsid w:val="00174838"/>
    <w:rsid w:val="00192356"/>
    <w:rsid w:val="001967A5"/>
    <w:rsid w:val="001E3B38"/>
    <w:rsid w:val="00227505"/>
    <w:rsid w:val="00255FDC"/>
    <w:rsid w:val="00273D03"/>
    <w:rsid w:val="002B2C38"/>
    <w:rsid w:val="002C460A"/>
    <w:rsid w:val="002D375A"/>
    <w:rsid w:val="002D486A"/>
    <w:rsid w:val="002E75FD"/>
    <w:rsid w:val="00325BDD"/>
    <w:rsid w:val="00326D3E"/>
    <w:rsid w:val="00340F9E"/>
    <w:rsid w:val="00345343"/>
    <w:rsid w:val="00372E7A"/>
    <w:rsid w:val="003D0346"/>
    <w:rsid w:val="003D251C"/>
    <w:rsid w:val="003E2160"/>
    <w:rsid w:val="003E3F8B"/>
    <w:rsid w:val="003F23D8"/>
    <w:rsid w:val="00401907"/>
    <w:rsid w:val="00412F08"/>
    <w:rsid w:val="00421054"/>
    <w:rsid w:val="00435424"/>
    <w:rsid w:val="00443867"/>
    <w:rsid w:val="004557AF"/>
    <w:rsid w:val="0046317F"/>
    <w:rsid w:val="00470BF2"/>
    <w:rsid w:val="00487DC0"/>
    <w:rsid w:val="00494B3D"/>
    <w:rsid w:val="00497E87"/>
    <w:rsid w:val="004A3CC2"/>
    <w:rsid w:val="004A64FE"/>
    <w:rsid w:val="004C67A9"/>
    <w:rsid w:val="00514AEB"/>
    <w:rsid w:val="0055006D"/>
    <w:rsid w:val="005531C6"/>
    <w:rsid w:val="00564B05"/>
    <w:rsid w:val="00571436"/>
    <w:rsid w:val="0058109E"/>
    <w:rsid w:val="005C445B"/>
    <w:rsid w:val="005C5D97"/>
    <w:rsid w:val="005D0637"/>
    <w:rsid w:val="005E2616"/>
    <w:rsid w:val="006177D3"/>
    <w:rsid w:val="006202D9"/>
    <w:rsid w:val="0062674F"/>
    <w:rsid w:val="006553E5"/>
    <w:rsid w:val="00675905"/>
    <w:rsid w:val="00690460"/>
    <w:rsid w:val="006920E0"/>
    <w:rsid w:val="006A3202"/>
    <w:rsid w:val="006D35D5"/>
    <w:rsid w:val="006D6BEE"/>
    <w:rsid w:val="006E5610"/>
    <w:rsid w:val="006E5794"/>
    <w:rsid w:val="006F7664"/>
    <w:rsid w:val="00707D7F"/>
    <w:rsid w:val="00712887"/>
    <w:rsid w:val="00714F30"/>
    <w:rsid w:val="007C4B70"/>
    <w:rsid w:val="007F15F7"/>
    <w:rsid w:val="00813FB0"/>
    <w:rsid w:val="008262E4"/>
    <w:rsid w:val="00845A19"/>
    <w:rsid w:val="00847960"/>
    <w:rsid w:val="00860248"/>
    <w:rsid w:val="00873FA6"/>
    <w:rsid w:val="00892FC8"/>
    <w:rsid w:val="0089396D"/>
    <w:rsid w:val="008B6899"/>
    <w:rsid w:val="008C0C4B"/>
    <w:rsid w:val="008C4916"/>
    <w:rsid w:val="008E51A5"/>
    <w:rsid w:val="0092110A"/>
    <w:rsid w:val="0094271A"/>
    <w:rsid w:val="00942B2E"/>
    <w:rsid w:val="0095634C"/>
    <w:rsid w:val="00980665"/>
    <w:rsid w:val="00984BF7"/>
    <w:rsid w:val="009A50B3"/>
    <w:rsid w:val="009B0015"/>
    <w:rsid w:val="009C7D3E"/>
    <w:rsid w:val="009D24A9"/>
    <w:rsid w:val="009F2DA3"/>
    <w:rsid w:val="00A065FB"/>
    <w:rsid w:val="00A066ED"/>
    <w:rsid w:val="00A12615"/>
    <w:rsid w:val="00A644C9"/>
    <w:rsid w:val="00A70B9D"/>
    <w:rsid w:val="00A97180"/>
    <w:rsid w:val="00A97F26"/>
    <w:rsid w:val="00AA121F"/>
    <w:rsid w:val="00AB0A08"/>
    <w:rsid w:val="00AC18E9"/>
    <w:rsid w:val="00AD3804"/>
    <w:rsid w:val="00B266B3"/>
    <w:rsid w:val="00BD4AB5"/>
    <w:rsid w:val="00BE5321"/>
    <w:rsid w:val="00C11FFB"/>
    <w:rsid w:val="00C15F6A"/>
    <w:rsid w:val="00C20EFE"/>
    <w:rsid w:val="00C74E58"/>
    <w:rsid w:val="00C76FC3"/>
    <w:rsid w:val="00C8434C"/>
    <w:rsid w:val="00CF1C7A"/>
    <w:rsid w:val="00CF465E"/>
    <w:rsid w:val="00CF4758"/>
    <w:rsid w:val="00D00AA7"/>
    <w:rsid w:val="00D74057"/>
    <w:rsid w:val="00D85628"/>
    <w:rsid w:val="00DB01FB"/>
    <w:rsid w:val="00DC05A4"/>
    <w:rsid w:val="00DE45B7"/>
    <w:rsid w:val="00DF14D6"/>
    <w:rsid w:val="00DF5A82"/>
    <w:rsid w:val="00E260E3"/>
    <w:rsid w:val="00E8197A"/>
    <w:rsid w:val="00E9541D"/>
    <w:rsid w:val="00E95740"/>
    <w:rsid w:val="00EB193E"/>
    <w:rsid w:val="00ED6FBD"/>
    <w:rsid w:val="00EE2871"/>
    <w:rsid w:val="00EE6362"/>
    <w:rsid w:val="00F14444"/>
    <w:rsid w:val="00F14620"/>
    <w:rsid w:val="00F258A2"/>
    <w:rsid w:val="00F655C5"/>
    <w:rsid w:val="00F77E43"/>
    <w:rsid w:val="00F82BF5"/>
    <w:rsid w:val="00FC3401"/>
    <w:rsid w:val="00FC4038"/>
    <w:rsid w:val="00FC6C42"/>
    <w:rsid w:val="00FD0C27"/>
    <w:rsid w:val="00FD56B8"/>
    <w:rsid w:val="00FE3AFD"/>
    <w:rsid w:val="29CC13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68A4E"/>
  <w15:chartTrackingRefBased/>
  <w15:docId w15:val="{7EC8E5B5-36BD-0A40-8091-FC986E5F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F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2887"/>
    <w:pPr>
      <w:tabs>
        <w:tab w:val="center" w:pos="4680"/>
        <w:tab w:val="right" w:pos="9360"/>
      </w:tabs>
    </w:pPr>
  </w:style>
  <w:style w:type="character" w:customStyle="1" w:styleId="HeaderChar">
    <w:name w:val="Header Char"/>
    <w:basedOn w:val="DefaultParagraphFont"/>
    <w:link w:val="Header"/>
    <w:uiPriority w:val="99"/>
    <w:rsid w:val="00712887"/>
  </w:style>
  <w:style w:type="paragraph" w:styleId="Footer">
    <w:name w:val="footer"/>
    <w:basedOn w:val="Normal"/>
    <w:link w:val="FooterChar"/>
    <w:uiPriority w:val="99"/>
    <w:unhideWhenUsed/>
    <w:rsid w:val="00712887"/>
    <w:pPr>
      <w:tabs>
        <w:tab w:val="center" w:pos="4680"/>
        <w:tab w:val="right" w:pos="9360"/>
      </w:tabs>
    </w:pPr>
  </w:style>
  <w:style w:type="character" w:customStyle="1" w:styleId="FooterChar">
    <w:name w:val="Footer Char"/>
    <w:basedOn w:val="DefaultParagraphFont"/>
    <w:link w:val="Footer"/>
    <w:uiPriority w:val="99"/>
    <w:rsid w:val="00712887"/>
  </w:style>
  <w:style w:type="paragraph" w:styleId="BodyText">
    <w:name w:val="Body Text"/>
    <w:basedOn w:val="Normal"/>
    <w:link w:val="BodyTextChar"/>
    <w:uiPriority w:val="1"/>
    <w:qFormat/>
    <w:rsid w:val="00E95740"/>
    <w:pPr>
      <w:widowControl w:val="0"/>
      <w:autoSpaceDE w:val="0"/>
      <w:autoSpaceDN w:val="0"/>
      <w:ind w:left="100"/>
    </w:pPr>
    <w:rPr>
      <w:rFonts w:ascii="Carlito" w:eastAsia="Carlito" w:hAnsi="Carlito" w:cs="Carlito"/>
      <w:sz w:val="22"/>
      <w:szCs w:val="22"/>
    </w:rPr>
  </w:style>
  <w:style w:type="character" w:customStyle="1" w:styleId="BodyTextChar">
    <w:name w:val="Body Text Char"/>
    <w:basedOn w:val="DefaultParagraphFont"/>
    <w:link w:val="BodyText"/>
    <w:uiPriority w:val="1"/>
    <w:rsid w:val="00E95740"/>
    <w:rPr>
      <w:rFonts w:ascii="Carlito" w:eastAsia="Carlito" w:hAnsi="Carlito" w:cs="Carlito"/>
      <w:sz w:val="22"/>
      <w:szCs w:val="22"/>
    </w:rPr>
  </w:style>
  <w:style w:type="character" w:styleId="Hyperlink">
    <w:name w:val="Hyperlink"/>
    <w:basedOn w:val="DefaultParagraphFont"/>
    <w:uiPriority w:val="99"/>
    <w:unhideWhenUsed/>
    <w:rsid w:val="00421054"/>
    <w:rPr>
      <w:color w:val="0563C1" w:themeColor="hyperlink"/>
      <w:u w:val="single"/>
    </w:rPr>
  </w:style>
  <w:style w:type="character" w:styleId="UnresolvedMention">
    <w:name w:val="Unresolved Mention"/>
    <w:basedOn w:val="DefaultParagraphFont"/>
    <w:uiPriority w:val="99"/>
    <w:semiHidden/>
    <w:unhideWhenUsed/>
    <w:rsid w:val="00421054"/>
    <w:rPr>
      <w:color w:val="605E5C"/>
      <w:shd w:val="clear" w:color="auto" w:fill="E1DFDD"/>
    </w:rPr>
  </w:style>
  <w:style w:type="character" w:styleId="CommentReference">
    <w:name w:val="annotation reference"/>
    <w:aliases w:val="-H18,Annotationmark"/>
    <w:basedOn w:val="DefaultParagraphFont"/>
    <w:uiPriority w:val="99"/>
    <w:unhideWhenUsed/>
    <w:qFormat/>
    <w:rsid w:val="00942B2E"/>
    <w:rPr>
      <w:sz w:val="16"/>
      <w:szCs w:val="16"/>
    </w:rPr>
  </w:style>
  <w:style w:type="paragraph" w:styleId="CommentText">
    <w:name w:val="annotation text"/>
    <w:aliases w:val="Comment Text Char1 Char,Comment Text Char Char Char,Comment Text Char1,Annotationtext,Car17 Car Car,Car17 Car,Char13,Car17,Char13 Car Car,Char13 Car, Char13, Car17 Car Car, Car17 Car, Car17, Char13 Car Car, Char13 Car,Comment Text Char Char"/>
    <w:basedOn w:val="Normal"/>
    <w:link w:val="CommentTextChar"/>
    <w:uiPriority w:val="99"/>
    <w:unhideWhenUsed/>
    <w:qFormat/>
    <w:rsid w:val="00942B2E"/>
    <w:rPr>
      <w:sz w:val="20"/>
      <w:szCs w:val="20"/>
    </w:rPr>
  </w:style>
  <w:style w:type="character" w:customStyle="1" w:styleId="CommentTextChar">
    <w:name w:val="Comment Text Char"/>
    <w:aliases w:val="Comment Text Char1 Char Char,Comment Text Char Char Char Char,Comment Text Char1 Char1,Annotationtext Char,Car17 Car Car Char,Car17 Car Char,Char13 Char,Car17 Char,Char13 Car Car Char,Char13 Car Char, Char13 Char, Car17 Car Car Char"/>
    <w:basedOn w:val="DefaultParagraphFont"/>
    <w:link w:val="CommentText"/>
    <w:uiPriority w:val="99"/>
    <w:rsid w:val="00942B2E"/>
    <w:rPr>
      <w:sz w:val="20"/>
      <w:szCs w:val="20"/>
    </w:rPr>
  </w:style>
  <w:style w:type="paragraph" w:styleId="CommentSubject">
    <w:name w:val="annotation subject"/>
    <w:basedOn w:val="CommentText"/>
    <w:next w:val="CommentText"/>
    <w:link w:val="CommentSubjectChar"/>
    <w:uiPriority w:val="99"/>
    <w:semiHidden/>
    <w:unhideWhenUsed/>
    <w:rsid w:val="00942B2E"/>
    <w:rPr>
      <w:b/>
      <w:bCs/>
    </w:rPr>
  </w:style>
  <w:style w:type="character" w:customStyle="1" w:styleId="CommentSubjectChar">
    <w:name w:val="Comment Subject Char"/>
    <w:basedOn w:val="CommentTextChar"/>
    <w:link w:val="CommentSubject"/>
    <w:uiPriority w:val="99"/>
    <w:semiHidden/>
    <w:rsid w:val="00942B2E"/>
    <w:rPr>
      <w:b/>
      <w:bCs/>
      <w:sz w:val="20"/>
      <w:szCs w:val="20"/>
    </w:rPr>
  </w:style>
  <w:style w:type="paragraph" w:customStyle="1" w:styleId="Text">
    <w:name w:val="Text"/>
    <w:aliases w:val="Graphic,Graphic Char Char,Graphic Char Char Char Char Char,Graphic Char Char Char Char Char Char Char C,notic,Text_10394,non tochic,Italic,graphics,本文,JP Body Text,Graphotiotc,JP Body Text Char,Graphiotc,Body Text1,Body Text11,Body Text111,??,本文1"/>
    <w:link w:val="TextChar"/>
    <w:qFormat/>
    <w:rsid w:val="00255FDC"/>
    <w:pPr>
      <w:spacing w:before="120"/>
    </w:pPr>
    <w:rPr>
      <w:rFonts w:ascii="Times New Roman" w:eastAsia="Batang" w:hAnsi="Times New Roman" w:cs="Times New Roman"/>
      <w:sz w:val="22"/>
      <w:szCs w:val="20"/>
    </w:rPr>
  </w:style>
  <w:style w:type="character" w:customStyle="1" w:styleId="TextChar">
    <w:name w:val="Text Char"/>
    <w:aliases w:val="Graphic Char,Body Text Hang Char,BT Char,BT Char Char Char,Text + HG丸ｺﾞｼｯｸM-PRO Char,最初の行 :  1 字 Char,g Char,GraphicHEADING 7 Char,Graphic Char Char Char,Graphic Char Char Char Char Char Char,Graphic Char Char Char Char Char Char Char C Char"/>
    <w:link w:val="Text"/>
    <w:rsid w:val="00255FDC"/>
    <w:rPr>
      <w:rFonts w:ascii="Times New Roman" w:eastAsia="Batang" w:hAnsi="Times New Roman" w:cs="Times New Roman"/>
      <w:sz w:val="22"/>
      <w:szCs w:val="20"/>
    </w:rPr>
  </w:style>
  <w:style w:type="paragraph" w:styleId="ListParagraph">
    <w:name w:val="List Paragraph"/>
    <w:basedOn w:val="Normal"/>
    <w:uiPriority w:val="34"/>
    <w:qFormat/>
    <w:rsid w:val="00020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8350">
      <w:bodyDiv w:val="1"/>
      <w:marLeft w:val="0"/>
      <w:marRight w:val="0"/>
      <w:marTop w:val="0"/>
      <w:marBottom w:val="0"/>
      <w:divBdr>
        <w:top w:val="none" w:sz="0" w:space="0" w:color="auto"/>
        <w:left w:val="none" w:sz="0" w:space="0" w:color="auto"/>
        <w:bottom w:val="none" w:sz="0" w:space="0" w:color="auto"/>
        <w:right w:val="none" w:sz="0" w:space="0" w:color="auto"/>
      </w:divBdr>
      <w:divsChild>
        <w:div w:id="918172270">
          <w:marLeft w:val="0"/>
          <w:marRight w:val="0"/>
          <w:marTop w:val="0"/>
          <w:marBottom w:val="0"/>
          <w:divBdr>
            <w:top w:val="none" w:sz="0" w:space="0" w:color="auto"/>
            <w:left w:val="none" w:sz="0" w:space="0" w:color="auto"/>
            <w:bottom w:val="none" w:sz="0" w:space="0" w:color="auto"/>
            <w:right w:val="none" w:sz="0" w:space="0" w:color="auto"/>
          </w:divBdr>
        </w:div>
        <w:div w:id="824705147">
          <w:marLeft w:val="0"/>
          <w:marRight w:val="0"/>
          <w:marTop w:val="0"/>
          <w:marBottom w:val="0"/>
          <w:divBdr>
            <w:top w:val="none" w:sz="0" w:space="0" w:color="auto"/>
            <w:left w:val="none" w:sz="0" w:space="0" w:color="auto"/>
            <w:bottom w:val="none" w:sz="0" w:space="0" w:color="auto"/>
            <w:right w:val="none" w:sz="0" w:space="0" w:color="auto"/>
          </w:divBdr>
        </w:div>
      </w:divsChild>
    </w:div>
    <w:div w:id="166795306">
      <w:bodyDiv w:val="1"/>
      <w:marLeft w:val="0"/>
      <w:marRight w:val="0"/>
      <w:marTop w:val="0"/>
      <w:marBottom w:val="0"/>
      <w:divBdr>
        <w:top w:val="none" w:sz="0" w:space="0" w:color="auto"/>
        <w:left w:val="none" w:sz="0" w:space="0" w:color="auto"/>
        <w:bottom w:val="none" w:sz="0" w:space="0" w:color="auto"/>
        <w:right w:val="none" w:sz="0" w:space="0" w:color="auto"/>
      </w:divBdr>
    </w:div>
    <w:div w:id="204021987">
      <w:bodyDiv w:val="1"/>
      <w:marLeft w:val="0"/>
      <w:marRight w:val="0"/>
      <w:marTop w:val="0"/>
      <w:marBottom w:val="0"/>
      <w:divBdr>
        <w:top w:val="none" w:sz="0" w:space="0" w:color="auto"/>
        <w:left w:val="none" w:sz="0" w:space="0" w:color="auto"/>
        <w:bottom w:val="none" w:sz="0" w:space="0" w:color="auto"/>
        <w:right w:val="none" w:sz="0" w:space="0" w:color="auto"/>
      </w:divBdr>
      <w:divsChild>
        <w:div w:id="1834177211">
          <w:marLeft w:val="0"/>
          <w:marRight w:val="0"/>
          <w:marTop w:val="0"/>
          <w:marBottom w:val="0"/>
          <w:divBdr>
            <w:top w:val="none" w:sz="0" w:space="0" w:color="auto"/>
            <w:left w:val="none" w:sz="0" w:space="0" w:color="auto"/>
            <w:bottom w:val="none" w:sz="0" w:space="0" w:color="auto"/>
            <w:right w:val="none" w:sz="0" w:space="0" w:color="auto"/>
          </w:divBdr>
        </w:div>
        <w:div w:id="2073456918">
          <w:marLeft w:val="0"/>
          <w:marRight w:val="0"/>
          <w:marTop w:val="0"/>
          <w:marBottom w:val="0"/>
          <w:divBdr>
            <w:top w:val="none" w:sz="0" w:space="0" w:color="auto"/>
            <w:left w:val="none" w:sz="0" w:space="0" w:color="auto"/>
            <w:bottom w:val="none" w:sz="0" w:space="0" w:color="auto"/>
            <w:right w:val="none" w:sz="0" w:space="0" w:color="auto"/>
          </w:divBdr>
        </w:div>
      </w:divsChild>
    </w:div>
    <w:div w:id="610936902">
      <w:bodyDiv w:val="1"/>
      <w:marLeft w:val="0"/>
      <w:marRight w:val="0"/>
      <w:marTop w:val="0"/>
      <w:marBottom w:val="0"/>
      <w:divBdr>
        <w:top w:val="none" w:sz="0" w:space="0" w:color="auto"/>
        <w:left w:val="none" w:sz="0" w:space="0" w:color="auto"/>
        <w:bottom w:val="none" w:sz="0" w:space="0" w:color="auto"/>
        <w:right w:val="none" w:sz="0" w:space="0" w:color="auto"/>
      </w:divBdr>
    </w:div>
    <w:div w:id="620501392">
      <w:bodyDiv w:val="1"/>
      <w:marLeft w:val="0"/>
      <w:marRight w:val="0"/>
      <w:marTop w:val="0"/>
      <w:marBottom w:val="0"/>
      <w:divBdr>
        <w:top w:val="none" w:sz="0" w:space="0" w:color="auto"/>
        <w:left w:val="none" w:sz="0" w:space="0" w:color="auto"/>
        <w:bottom w:val="none" w:sz="0" w:space="0" w:color="auto"/>
        <w:right w:val="none" w:sz="0" w:space="0" w:color="auto"/>
      </w:divBdr>
    </w:div>
    <w:div w:id="1256477881">
      <w:bodyDiv w:val="1"/>
      <w:marLeft w:val="0"/>
      <w:marRight w:val="0"/>
      <w:marTop w:val="0"/>
      <w:marBottom w:val="0"/>
      <w:divBdr>
        <w:top w:val="none" w:sz="0" w:space="0" w:color="auto"/>
        <w:left w:val="none" w:sz="0" w:space="0" w:color="auto"/>
        <w:bottom w:val="none" w:sz="0" w:space="0" w:color="auto"/>
        <w:right w:val="none" w:sz="0" w:space="0" w:color="auto"/>
      </w:divBdr>
      <w:divsChild>
        <w:div w:id="450133620">
          <w:marLeft w:val="0"/>
          <w:marRight w:val="0"/>
          <w:marTop w:val="0"/>
          <w:marBottom w:val="0"/>
          <w:divBdr>
            <w:top w:val="none" w:sz="0" w:space="0" w:color="auto"/>
            <w:left w:val="none" w:sz="0" w:space="0" w:color="auto"/>
            <w:bottom w:val="none" w:sz="0" w:space="0" w:color="auto"/>
            <w:right w:val="none" w:sz="0" w:space="0" w:color="auto"/>
          </w:divBdr>
        </w:div>
        <w:div w:id="1321426422">
          <w:marLeft w:val="0"/>
          <w:marRight w:val="0"/>
          <w:marTop w:val="0"/>
          <w:marBottom w:val="0"/>
          <w:divBdr>
            <w:top w:val="none" w:sz="0" w:space="0" w:color="auto"/>
            <w:left w:val="none" w:sz="0" w:space="0" w:color="auto"/>
            <w:bottom w:val="none" w:sz="0" w:space="0" w:color="auto"/>
            <w:right w:val="none" w:sz="0" w:space="0" w:color="auto"/>
          </w:divBdr>
        </w:div>
      </w:divsChild>
    </w:div>
    <w:div w:id="1322585212">
      <w:bodyDiv w:val="1"/>
      <w:marLeft w:val="0"/>
      <w:marRight w:val="0"/>
      <w:marTop w:val="0"/>
      <w:marBottom w:val="0"/>
      <w:divBdr>
        <w:top w:val="none" w:sz="0" w:space="0" w:color="auto"/>
        <w:left w:val="none" w:sz="0" w:space="0" w:color="auto"/>
        <w:bottom w:val="none" w:sz="0" w:space="0" w:color="auto"/>
        <w:right w:val="none" w:sz="0" w:space="0" w:color="auto"/>
      </w:divBdr>
    </w:div>
    <w:div w:id="1500005769">
      <w:bodyDiv w:val="1"/>
      <w:marLeft w:val="0"/>
      <w:marRight w:val="0"/>
      <w:marTop w:val="0"/>
      <w:marBottom w:val="0"/>
      <w:divBdr>
        <w:top w:val="none" w:sz="0" w:space="0" w:color="auto"/>
        <w:left w:val="none" w:sz="0" w:space="0" w:color="auto"/>
        <w:bottom w:val="none" w:sz="0" w:space="0" w:color="auto"/>
        <w:right w:val="none" w:sz="0" w:space="0" w:color="auto"/>
      </w:divBdr>
    </w:div>
    <w:div w:id="2002349705">
      <w:bodyDiv w:val="1"/>
      <w:marLeft w:val="0"/>
      <w:marRight w:val="0"/>
      <w:marTop w:val="0"/>
      <w:marBottom w:val="0"/>
      <w:divBdr>
        <w:top w:val="none" w:sz="0" w:space="0" w:color="auto"/>
        <w:left w:val="none" w:sz="0" w:space="0" w:color="auto"/>
        <w:bottom w:val="none" w:sz="0" w:space="0" w:color="auto"/>
        <w:right w:val="none" w:sz="0" w:space="0" w:color="auto"/>
      </w:divBdr>
      <w:divsChild>
        <w:div w:id="1338384788">
          <w:marLeft w:val="0"/>
          <w:marRight w:val="0"/>
          <w:marTop w:val="0"/>
          <w:marBottom w:val="0"/>
          <w:divBdr>
            <w:top w:val="none" w:sz="0" w:space="0" w:color="auto"/>
            <w:left w:val="none" w:sz="0" w:space="0" w:color="auto"/>
            <w:bottom w:val="none" w:sz="0" w:space="0" w:color="auto"/>
            <w:right w:val="none" w:sz="0" w:space="0" w:color="auto"/>
          </w:divBdr>
        </w:div>
        <w:div w:id="986857453">
          <w:marLeft w:val="0"/>
          <w:marRight w:val="0"/>
          <w:marTop w:val="0"/>
          <w:marBottom w:val="0"/>
          <w:divBdr>
            <w:top w:val="none" w:sz="0" w:space="0" w:color="auto"/>
            <w:left w:val="none" w:sz="0" w:space="0" w:color="auto"/>
            <w:bottom w:val="none" w:sz="0" w:space="0" w:color="auto"/>
            <w:right w:val="none" w:sz="0" w:space="0" w:color="auto"/>
          </w:divBdr>
        </w:div>
      </w:divsChild>
    </w:div>
    <w:div w:id="213779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ovartis.com/us-en/sites/novartis_us/files/pluvicto.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642708DCF640468B9A059FF705C905" ma:contentTypeVersion="" ma:contentTypeDescription="Create a new document." ma:contentTypeScope="" ma:versionID="9138a2309e8d41183c5f32da1b15527d">
  <xsd:schema xmlns:xsd="http://www.w3.org/2001/XMLSchema" xmlns:xs="http://www.w3.org/2001/XMLSchema" xmlns:p="http://schemas.microsoft.com/office/2006/metadata/properties" targetNamespace="http://schemas.microsoft.com/office/2006/metadata/properties" ma:root="true" ma:fieldsID="7b15600a8812b0af747e6c167818da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2CC0D-B6C6-4811-A290-5DB710E8D9AD}">
  <ds:schemaRefs>
    <ds:schemaRef ds:uri="http://schemas.microsoft.com/sharepoint/v3/contenttype/forms"/>
  </ds:schemaRefs>
</ds:datastoreItem>
</file>

<file path=customXml/itemProps2.xml><?xml version="1.0" encoding="utf-8"?>
<ds:datastoreItem xmlns:ds="http://schemas.openxmlformats.org/officeDocument/2006/customXml" ds:itemID="{B55FD511-2706-43FA-9E28-330979260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C85FDC-BCB4-45DB-8286-BC2B8C8CBC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1358</Words>
  <Characters>7742</Characters>
  <Application>Microsoft Office Word</Application>
  <DocSecurity>0</DocSecurity>
  <Lines>64</Lines>
  <Paragraphs>18</Paragraphs>
  <ScaleCrop>false</ScaleCrop>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Lomibao</dc:creator>
  <cp:keywords/>
  <dc:description/>
  <cp:lastModifiedBy>Gregory Keating</cp:lastModifiedBy>
  <cp:revision>10</cp:revision>
  <cp:lastPrinted>2026-08-03T16:10:00Z</cp:lastPrinted>
  <dcterms:created xsi:type="dcterms:W3CDTF">2026-07-10T22:09:00Z</dcterms:created>
  <dcterms:modified xsi:type="dcterms:W3CDTF">2026-08-03T16:10:00Z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0x010100E0642708DCF640468B9A059FF705C905</vt:lpwstr>
  </property>
  <property fmtid="{D5CDD505-2E9C-101B-9397-08002B2CF9AE}" pid="3" name="ClassificationContentMarkingFooterShapeIds">
    <vt:lpwstr>87e77bd,2f1b4f6b,6d50a518</vt:lpwstr>
  </property>
  <property fmtid="{D5CDD505-2E9C-101B-9397-08002B2CF9AE}" pid="4" name="ClassificationContentMarkingFooterFontProps">
    <vt:lpwstr>#000000,10,Calibri</vt:lpwstr>
  </property>
  <property fmtid="{D5CDD505-2E9C-101B-9397-08002B2CF9AE}" pid="5" name="ClassificationContentMarkingFooterText">
    <vt:lpwstr>Confidential - Not for Public Consumption or Distribution</vt:lpwstr>
  </property>
  <property fmtid="{D5CDD505-2E9C-101B-9397-08002B2CF9AE}" pid="6" name="MSIP_Label_8e19d756-792e-42a1-bcad-4cb9051ddd2d_Enabled">
    <vt:lpwstr>true</vt:lpwstr>
  </property>
  <property fmtid="{D5CDD505-2E9C-101B-9397-08002B2CF9AE}" pid="7" name="MSIP_Label_8e19d756-792e-42a1-bcad-4cb9051ddd2d_SetDate">
    <vt:lpwstr>2025-07-30T14:22:32Z</vt:lpwstr>
  </property>
  <property fmtid="{D5CDD505-2E9C-101B-9397-08002B2CF9AE}" pid="8" name="MSIP_Label_8e19d756-792e-42a1-bcad-4cb9051ddd2d_Method">
    <vt:lpwstr>Standard</vt:lpwstr>
  </property>
  <property fmtid="{D5CDD505-2E9C-101B-9397-08002B2CF9AE}" pid="9" name="MSIP_Label_8e19d756-792e-42a1-bcad-4cb9051ddd2d_Name">
    <vt:lpwstr>Confidential</vt:lpwstr>
  </property>
  <property fmtid="{D5CDD505-2E9C-101B-9397-08002B2CF9AE}" pid="10" name="MSIP_Label_8e19d756-792e-42a1-bcad-4cb9051ddd2d_SiteId">
    <vt:lpwstr>41eb501a-f671-4ce0-a5bf-b64168c3705f</vt:lpwstr>
  </property>
  <property fmtid="{D5CDD505-2E9C-101B-9397-08002B2CF9AE}" pid="11" name="MSIP_Label_8e19d756-792e-42a1-bcad-4cb9051ddd2d_ActionId">
    <vt:lpwstr>f78c1941-ca0a-4314-ba77-4b9914961693</vt:lpwstr>
  </property>
  <property fmtid="{D5CDD505-2E9C-101B-9397-08002B2CF9AE}" pid="12" name="MSIP_Label_8e19d756-792e-42a1-bcad-4cb9051ddd2d_ContentBits">
    <vt:lpwstr>2</vt:lpwstr>
  </property>
  <property fmtid="{D5CDD505-2E9C-101B-9397-08002B2CF9AE}" pid="13" name="MSIP_Label_8e19d756-792e-42a1-bcad-4cb9051ddd2d_Tag">
    <vt:lpwstr>10, 3, 0, 2</vt:lpwstr>
  </property>
</Properties>
</file>