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FAF7" w14:textId="77777777" w:rsidR="00BA02B0" w:rsidRDefault="00875DD4">
      <w:pPr>
        <w:pStyle w:val="Heading2"/>
        <w:spacing w:before="41"/>
      </w:pPr>
      <w:r>
        <w:t>Sample Letter of Medical Exception</w:t>
      </w:r>
    </w:p>
    <w:p w14:paraId="7A81CA74" w14:textId="08407851" w:rsidR="00BA02B0" w:rsidRPr="00F24779" w:rsidRDefault="00875DD4" w:rsidP="00501090">
      <w:pPr>
        <w:spacing w:before="159" w:line="242" w:lineRule="auto"/>
        <w:ind w:left="200"/>
        <w:rPr>
          <w:i/>
        </w:rPr>
      </w:pPr>
      <w:r w:rsidRPr="00F24779">
        <w:rPr>
          <w:i/>
        </w:rPr>
        <w:t>Note to physician: this template may be used to help create your institution’s independent letter of medical exception to be sent to a patient’s health plan should a letter of medical exception be required by a patient’s health plan to determine/request coverage.</w:t>
      </w:r>
      <w:r w:rsidR="00501090" w:rsidRPr="00501090">
        <w:t xml:space="preserve"> </w:t>
      </w:r>
      <w:r w:rsidR="00501090" w:rsidRPr="00501090">
        <w:rPr>
          <w:i/>
        </w:rPr>
        <w:t xml:space="preserve">All </w:t>
      </w:r>
      <w:r w:rsidR="00501090" w:rsidRPr="00501090">
        <w:rPr>
          <w:i/>
          <w:color w:val="0070C0"/>
        </w:rPr>
        <w:t>blue</w:t>
      </w:r>
      <w:r w:rsidR="00950E5B">
        <w:rPr>
          <w:i/>
          <w:color w:val="0070C0"/>
        </w:rPr>
        <w:t xml:space="preserve"> </w:t>
      </w:r>
      <w:r w:rsidR="00501090" w:rsidRPr="00501090">
        <w:rPr>
          <w:i/>
        </w:rPr>
        <w:t>content describes the kind of information typically required and is not intended to be included in your final letter of appeal.</w:t>
      </w:r>
      <w:r w:rsidR="00501090">
        <w:rPr>
          <w:i/>
        </w:rPr>
        <w:t xml:space="preserve"> </w:t>
      </w:r>
      <w:r w:rsidRPr="00F24779">
        <w:rPr>
          <w:i/>
        </w:rPr>
        <w:t xml:space="preserve">All </w:t>
      </w:r>
      <w:r w:rsidRPr="00BA090E">
        <w:rPr>
          <w:i/>
          <w:color w:val="FF3399"/>
        </w:rPr>
        <w:t>pink</w:t>
      </w:r>
      <w:r w:rsidR="009179FE" w:rsidRPr="00BA090E">
        <w:rPr>
          <w:i/>
          <w:color w:val="FF3399"/>
        </w:rPr>
        <w:t>/</w:t>
      </w:r>
      <w:r w:rsidRPr="00BA090E">
        <w:rPr>
          <w:i/>
          <w:color w:val="FF3399"/>
        </w:rPr>
        <w:t xml:space="preserve">bracketed </w:t>
      </w:r>
      <w:r w:rsidRPr="00F24779">
        <w:rPr>
          <w:i/>
        </w:rPr>
        <w:t>content needs to be filled out based on the details of each specific appeal. Be sure to review and understand specific health plan requirements for your patient. It is also important to understand each plan's submission process (online vs fax).</w:t>
      </w:r>
    </w:p>
    <w:p w14:paraId="6040B881" w14:textId="77777777" w:rsidR="00BA02B0" w:rsidRPr="00F24779" w:rsidRDefault="00BA02B0">
      <w:pPr>
        <w:pStyle w:val="BodyText"/>
        <w:spacing w:before="11"/>
        <w:rPr>
          <w:i/>
        </w:rPr>
      </w:pPr>
    </w:p>
    <w:p w14:paraId="2DF30A27" w14:textId="77777777" w:rsidR="00BA02B0" w:rsidRDefault="00875DD4">
      <w:pPr>
        <w:pStyle w:val="BodyText"/>
        <w:ind w:left="200"/>
      </w:pPr>
      <w:r>
        <w:rPr>
          <w:color w:val="FF3399"/>
        </w:rPr>
        <w:t>[Date]</w:t>
      </w:r>
    </w:p>
    <w:p w14:paraId="5FD9331D" w14:textId="77777777" w:rsidR="00BA02B0" w:rsidRDefault="00875DD4">
      <w:pPr>
        <w:pStyle w:val="BodyText"/>
        <w:tabs>
          <w:tab w:val="left" w:pos="8043"/>
        </w:tabs>
        <w:spacing w:before="157"/>
        <w:ind w:left="200"/>
      </w:pPr>
      <w:r>
        <w:rPr>
          <w:color w:val="FF3399"/>
        </w:rPr>
        <w:t>[Health</w:t>
      </w:r>
      <w:r>
        <w:rPr>
          <w:color w:val="FF3399"/>
          <w:spacing w:val="-3"/>
        </w:rPr>
        <w:t xml:space="preserve"> </w:t>
      </w:r>
      <w:r>
        <w:rPr>
          <w:color w:val="FF3399"/>
        </w:rPr>
        <w:t>plan</w:t>
      </w:r>
      <w:r>
        <w:rPr>
          <w:color w:val="FF3399"/>
          <w:spacing w:val="-2"/>
        </w:rPr>
        <w:t xml:space="preserve"> </w:t>
      </w:r>
      <w:r>
        <w:rPr>
          <w:color w:val="FF3399"/>
        </w:rPr>
        <w:t>name]</w:t>
      </w:r>
      <w:r>
        <w:rPr>
          <w:color w:val="FF3399"/>
        </w:rPr>
        <w:tab/>
        <w:t>[Patient’s</w:t>
      </w:r>
      <w:r>
        <w:rPr>
          <w:color w:val="FF3399"/>
          <w:spacing w:val="-7"/>
        </w:rPr>
        <w:t xml:space="preserve"> </w:t>
      </w:r>
      <w:r>
        <w:rPr>
          <w:color w:val="FF3399"/>
        </w:rPr>
        <w:t>Name]</w:t>
      </w:r>
    </w:p>
    <w:p w14:paraId="2A8ABB2D" w14:textId="7858B6DA" w:rsidR="00BA02B0" w:rsidRDefault="00875DD4">
      <w:pPr>
        <w:pStyle w:val="BodyText"/>
        <w:tabs>
          <w:tab w:val="left" w:pos="6397"/>
          <w:tab w:val="left" w:pos="8258"/>
        </w:tabs>
        <w:spacing w:before="162" w:line="384" w:lineRule="auto"/>
        <w:ind w:left="200" w:right="236"/>
      </w:pPr>
      <w:r>
        <w:t>ATTN</w:t>
      </w:r>
      <w:r>
        <w:rPr>
          <w:color w:val="FF3399"/>
        </w:rPr>
        <w:t>:</w:t>
      </w:r>
      <w:r>
        <w:rPr>
          <w:color w:val="FF3399"/>
          <w:spacing w:val="-3"/>
        </w:rPr>
        <w:t xml:space="preserve"> </w:t>
      </w:r>
      <w:r>
        <w:rPr>
          <w:color w:val="FF3399"/>
        </w:rPr>
        <w:t>[Department]</w:t>
      </w:r>
      <w:r>
        <w:rPr>
          <w:color w:val="FF3399"/>
        </w:rPr>
        <w:tab/>
        <w:t>[Patient’s plan-specific member ID] [Medical/Pharmacy Director Name</w:t>
      </w:r>
      <w:r>
        <w:rPr>
          <w:color w:val="FF3399"/>
          <w:spacing w:val="-10"/>
        </w:rPr>
        <w:t xml:space="preserve"> </w:t>
      </w:r>
      <w:r>
        <w:rPr>
          <w:color w:val="FF3399"/>
        </w:rPr>
        <w:t>(if</w:t>
      </w:r>
      <w:r>
        <w:rPr>
          <w:color w:val="FF3399"/>
          <w:spacing w:val="-5"/>
        </w:rPr>
        <w:t xml:space="preserve"> </w:t>
      </w:r>
      <w:r>
        <w:rPr>
          <w:color w:val="FF3399"/>
        </w:rPr>
        <w:t>available)]</w:t>
      </w:r>
      <w:r>
        <w:rPr>
          <w:color w:val="FF3399"/>
        </w:rPr>
        <w:tab/>
      </w:r>
      <w:r w:rsidR="00E155A3">
        <w:rPr>
          <w:color w:val="FF3399"/>
        </w:rPr>
        <w:t xml:space="preserve">                  </w:t>
      </w:r>
      <w:proofErr w:type="gramStart"/>
      <w:r w:rsidR="00E155A3">
        <w:rPr>
          <w:color w:val="FF3399"/>
        </w:rPr>
        <w:t xml:space="preserve">   </w:t>
      </w:r>
      <w:r>
        <w:rPr>
          <w:color w:val="FF3399"/>
        </w:rPr>
        <w:t>[</w:t>
      </w:r>
      <w:proofErr w:type="gramEnd"/>
      <w:r w:rsidR="00E155A3">
        <w:rPr>
          <w:color w:val="FF3399"/>
        </w:rPr>
        <w:t>Patient’s d</w:t>
      </w:r>
      <w:r>
        <w:rPr>
          <w:color w:val="FF3399"/>
        </w:rPr>
        <w:t>ate of</w:t>
      </w:r>
      <w:r>
        <w:rPr>
          <w:color w:val="FF3399"/>
          <w:spacing w:val="-7"/>
        </w:rPr>
        <w:t xml:space="preserve"> </w:t>
      </w:r>
      <w:r>
        <w:rPr>
          <w:color w:val="FF3399"/>
        </w:rPr>
        <w:t>birth]</w:t>
      </w:r>
    </w:p>
    <w:p w14:paraId="273B6672" w14:textId="77777777" w:rsidR="00BA02B0" w:rsidRDefault="00875DD4">
      <w:pPr>
        <w:pStyle w:val="BodyText"/>
        <w:tabs>
          <w:tab w:val="left" w:pos="8253"/>
        </w:tabs>
        <w:ind w:left="200"/>
      </w:pPr>
      <w:r>
        <w:rPr>
          <w:color w:val="FF3399"/>
        </w:rPr>
        <w:t>[Health</w:t>
      </w:r>
      <w:r>
        <w:rPr>
          <w:color w:val="FF3399"/>
          <w:spacing w:val="-4"/>
        </w:rPr>
        <w:t xml:space="preserve"> </w:t>
      </w:r>
      <w:r>
        <w:rPr>
          <w:color w:val="FF3399"/>
        </w:rPr>
        <w:t>plan</w:t>
      </w:r>
      <w:r>
        <w:rPr>
          <w:color w:val="FF3399"/>
          <w:spacing w:val="-3"/>
        </w:rPr>
        <w:t xml:space="preserve"> </w:t>
      </w:r>
      <w:r>
        <w:rPr>
          <w:color w:val="FF3399"/>
        </w:rPr>
        <w:t>address]</w:t>
      </w:r>
      <w:r>
        <w:rPr>
          <w:color w:val="FF3399"/>
        </w:rPr>
        <w:tab/>
        <w:t>[Case</w:t>
      </w:r>
      <w:r>
        <w:rPr>
          <w:color w:val="FF3399"/>
          <w:spacing w:val="-6"/>
        </w:rPr>
        <w:t xml:space="preserve"> </w:t>
      </w:r>
      <w:r>
        <w:rPr>
          <w:color w:val="FF3399"/>
        </w:rPr>
        <w:t>number]</w:t>
      </w:r>
    </w:p>
    <w:p w14:paraId="2CD5E6A0" w14:textId="3F07ED3B" w:rsidR="00BA02B0" w:rsidRDefault="00875DD4">
      <w:pPr>
        <w:pStyle w:val="BodyText"/>
        <w:tabs>
          <w:tab w:val="left" w:pos="7983"/>
        </w:tabs>
        <w:spacing w:before="157"/>
        <w:ind w:left="200"/>
      </w:pPr>
      <w:r>
        <w:rPr>
          <w:color w:val="FF3399"/>
        </w:rPr>
        <w:t>[City, State,</w:t>
      </w:r>
      <w:r>
        <w:rPr>
          <w:color w:val="FF3399"/>
          <w:spacing w:val="-2"/>
        </w:rPr>
        <w:t xml:space="preserve"> </w:t>
      </w:r>
      <w:r>
        <w:rPr>
          <w:color w:val="FF3399"/>
        </w:rPr>
        <w:t>ZIP</w:t>
      </w:r>
      <w:r>
        <w:rPr>
          <w:color w:val="FF3399"/>
          <w:spacing w:val="-4"/>
        </w:rPr>
        <w:t xml:space="preserve"> </w:t>
      </w:r>
      <w:r w:rsidR="00E35024">
        <w:rPr>
          <w:color w:val="FF3399"/>
        </w:rPr>
        <w:t>C</w:t>
      </w:r>
      <w:r>
        <w:rPr>
          <w:color w:val="FF3399"/>
        </w:rPr>
        <w:t>ode]</w:t>
      </w:r>
      <w:r>
        <w:rPr>
          <w:color w:val="FF3399"/>
        </w:rPr>
        <w:tab/>
        <w:t>[Dates of</w:t>
      </w:r>
      <w:r>
        <w:rPr>
          <w:color w:val="FF3399"/>
          <w:spacing w:val="-11"/>
        </w:rPr>
        <w:t xml:space="preserve"> </w:t>
      </w:r>
      <w:r>
        <w:rPr>
          <w:color w:val="FF3399"/>
        </w:rPr>
        <w:t>service]</w:t>
      </w:r>
    </w:p>
    <w:p w14:paraId="24FD5F58" w14:textId="77777777" w:rsidR="00BA02B0" w:rsidRDefault="00875DD4">
      <w:pPr>
        <w:pStyle w:val="BodyText"/>
        <w:spacing w:before="162" w:line="403" w:lineRule="auto"/>
        <w:ind w:left="200" w:right="4256"/>
      </w:pPr>
      <w:r>
        <w:t>Re: Letter of Medical Exception for LEQVIO® (</w:t>
      </w:r>
      <w:proofErr w:type="spellStart"/>
      <w:r>
        <w:t>inclisiran</w:t>
      </w:r>
      <w:proofErr w:type="spellEnd"/>
      <w:r>
        <w:t xml:space="preserve">) Dear </w:t>
      </w:r>
      <w:r>
        <w:rPr>
          <w:color w:val="FF3399"/>
        </w:rPr>
        <w:t>[Medical/Pharmacy Director Name]</w:t>
      </w:r>
      <w:r>
        <w:t>,</w:t>
      </w:r>
    </w:p>
    <w:p w14:paraId="26BF321C" w14:textId="04935115" w:rsidR="0070337E" w:rsidRDefault="00875DD4" w:rsidP="0070337E">
      <w:pPr>
        <w:pStyle w:val="BodyText"/>
        <w:spacing w:line="259" w:lineRule="auto"/>
        <w:ind w:left="200" w:right="255"/>
      </w:pPr>
      <w:r>
        <w:t xml:space="preserve">I am writing this letter of medical exception on behalf of </w:t>
      </w:r>
      <w:r>
        <w:rPr>
          <w:color w:val="FF3399"/>
        </w:rPr>
        <w:t xml:space="preserve">[Patient’s Name] </w:t>
      </w:r>
      <w:r>
        <w:t>to request coverage for LEQVIO</w:t>
      </w:r>
      <w:r>
        <w:rPr>
          <w:rFonts w:ascii="Arial" w:hAnsi="Arial"/>
          <w:color w:val="1F2023"/>
          <w:vertAlign w:val="superscript"/>
        </w:rPr>
        <w:t>®</w:t>
      </w:r>
      <w:r>
        <w:rPr>
          <w:rFonts w:ascii="Arial" w:hAnsi="Arial"/>
          <w:color w:val="1F2023"/>
        </w:rPr>
        <w:t xml:space="preserve"> </w:t>
      </w:r>
      <w:r>
        <w:t xml:space="preserve">for the treatment of </w:t>
      </w:r>
      <w:r w:rsidR="00FA00F9" w:rsidRPr="0070337E">
        <w:rPr>
          <w:color w:val="FF3399"/>
        </w:rPr>
        <w:t>[</w:t>
      </w:r>
      <w:r w:rsidR="00FA00F9" w:rsidRPr="008647E6">
        <w:rPr>
          <w:color w:val="0070C0"/>
        </w:rPr>
        <w:t xml:space="preserve">[ADULT PATIENTS AGED 18+] </w:t>
      </w:r>
      <w:r w:rsidR="00FA00F9" w:rsidRPr="0070337E">
        <w:rPr>
          <w:color w:val="FF3399"/>
        </w:rPr>
        <w:t>hypercholesterolemia or familial hypercholesterolemia (</w:t>
      </w:r>
      <w:proofErr w:type="spellStart"/>
      <w:r w:rsidR="00FA00F9" w:rsidRPr="0070337E">
        <w:rPr>
          <w:color w:val="FF3399"/>
        </w:rPr>
        <w:t>HeFH</w:t>
      </w:r>
      <w:proofErr w:type="spellEnd"/>
      <w:r w:rsidR="00FA00F9" w:rsidRPr="0070337E">
        <w:rPr>
          <w:color w:val="FF3399"/>
        </w:rPr>
        <w:t xml:space="preserve">) / </w:t>
      </w:r>
      <w:r w:rsidR="00FA00F9" w:rsidRPr="008647E6">
        <w:rPr>
          <w:color w:val="0070C0"/>
        </w:rPr>
        <w:t xml:space="preserve">[PEDIATRIC PATIENTS AGED 12-17] </w:t>
      </w:r>
      <w:r w:rsidR="00FA00F9" w:rsidRPr="0070337E">
        <w:rPr>
          <w:color w:val="FF3399"/>
        </w:rPr>
        <w:t>familial hypercholesterolemia (</w:t>
      </w:r>
      <w:proofErr w:type="spellStart"/>
      <w:r w:rsidR="00FA00F9" w:rsidRPr="0070337E">
        <w:rPr>
          <w:color w:val="FF3399"/>
        </w:rPr>
        <w:t>HeFH</w:t>
      </w:r>
      <w:proofErr w:type="spellEnd"/>
      <w:r w:rsidR="00FA00F9" w:rsidRPr="0070337E">
        <w:rPr>
          <w:color w:val="FF3399"/>
        </w:rPr>
        <w:t>/</w:t>
      </w:r>
      <w:proofErr w:type="spellStart"/>
      <w:r w:rsidR="00FA00F9" w:rsidRPr="0070337E">
        <w:rPr>
          <w:color w:val="FF3399"/>
        </w:rPr>
        <w:t>HoFH</w:t>
      </w:r>
      <w:proofErr w:type="spellEnd"/>
      <w:r w:rsidR="00C3736E">
        <w:rPr>
          <w:color w:val="FF3399"/>
        </w:rPr>
        <w:t>)</w:t>
      </w:r>
      <w:r w:rsidR="0070337E" w:rsidRPr="0070337E">
        <w:rPr>
          <w:color w:val="FF3399"/>
        </w:rPr>
        <w:t>]</w:t>
      </w:r>
      <w:r w:rsidR="0070337E" w:rsidRPr="0070337E">
        <w:t>,</w:t>
      </w:r>
      <w:r w:rsidR="0070337E">
        <w:rPr>
          <w:color w:val="FF3399"/>
        </w:rPr>
        <w:t xml:space="preserve"> </w:t>
      </w:r>
      <w:r w:rsidR="0070337E" w:rsidRPr="0070337E">
        <w:t xml:space="preserve">to reduce low-density lipoprotein cholesterol (LDL-C) </w:t>
      </w:r>
      <w:r w:rsidR="0070337E" w:rsidRPr="0070337E">
        <w:rPr>
          <w:color w:val="FF3399"/>
        </w:rPr>
        <w:t>[insert ICD-10 code(s)]</w:t>
      </w:r>
      <w:r w:rsidR="0070337E" w:rsidRPr="0070337E">
        <w:t>.</w:t>
      </w:r>
      <w:r w:rsidR="0070337E" w:rsidRPr="0070337E">
        <w:rPr>
          <w:color w:val="FF3399"/>
        </w:rPr>
        <w:t xml:space="preserve"> </w:t>
      </w:r>
      <w:r w:rsidR="0070337E" w:rsidRPr="0070337E">
        <w:t>This letter provides the clinical rationale and relevant information about the patient’s medical history and treatment.</w:t>
      </w:r>
    </w:p>
    <w:p w14:paraId="48C258A2" w14:textId="7949E31C" w:rsidR="00BA02B0" w:rsidRDefault="00875DD4">
      <w:pPr>
        <w:pStyle w:val="BodyText"/>
        <w:spacing w:before="158" w:line="259" w:lineRule="auto"/>
        <w:ind w:left="200" w:right="279"/>
      </w:pPr>
      <w:r>
        <w:t xml:space="preserve">I have been treating </w:t>
      </w:r>
      <w:r>
        <w:rPr>
          <w:color w:val="FF3399"/>
        </w:rPr>
        <w:t>[Patient’s Name]</w:t>
      </w:r>
      <w:r>
        <w:t xml:space="preserve">, </w:t>
      </w:r>
      <w:r>
        <w:rPr>
          <w:color w:val="FF3399"/>
        </w:rPr>
        <w:t>[a/an] [age]</w:t>
      </w:r>
      <w:r>
        <w:t xml:space="preserve">-year-old </w:t>
      </w:r>
      <w:r>
        <w:rPr>
          <w:color w:val="FF3399"/>
        </w:rPr>
        <w:t>[male/female]</w:t>
      </w:r>
      <w:r>
        <w:t xml:space="preserve">, since </w:t>
      </w:r>
      <w:r>
        <w:rPr>
          <w:color w:val="FF3399"/>
        </w:rPr>
        <w:t xml:space="preserve">[Date] </w:t>
      </w:r>
      <w:r>
        <w:t>to manage their</w:t>
      </w:r>
      <w:r w:rsidR="00A46EF8">
        <w:t xml:space="preserve"> </w:t>
      </w:r>
      <w:r>
        <w:t xml:space="preserve">high LDL-C levels. My rationale for prescribing LEQVIO is: </w:t>
      </w:r>
      <w:r>
        <w:rPr>
          <w:color w:val="FF3399"/>
        </w:rPr>
        <w:t xml:space="preserve">[Include relevant medical information and why LEQVIO is the most appropriate treatment option. An example may include evidence that </w:t>
      </w:r>
      <w:r w:rsidR="00F24779" w:rsidRPr="00F24779">
        <w:rPr>
          <w:color w:val="FF3399"/>
        </w:rPr>
        <w:t>previous therapies have</w:t>
      </w:r>
      <w:r w:rsidR="00F24779">
        <w:rPr>
          <w:color w:val="FF3399"/>
        </w:rPr>
        <w:t xml:space="preserve"> </w:t>
      </w:r>
      <w:r>
        <w:rPr>
          <w:color w:val="FF3399"/>
        </w:rPr>
        <w:t>not been effective</w:t>
      </w:r>
      <w:r w:rsidR="006F4BB0">
        <w:rPr>
          <w:color w:val="FF3399"/>
        </w:rPr>
        <w:t xml:space="preserve"> enough</w:t>
      </w:r>
      <w:r>
        <w:rPr>
          <w:color w:val="FF3399"/>
        </w:rPr>
        <w:t>, or the patient has high LDL-C levels. If applicable, provide specific information regarding the treatments this patient has already received.</w:t>
      </w:r>
      <w:r w:rsidR="00172BB5" w:rsidRPr="00172BB5">
        <w:t xml:space="preserve"> </w:t>
      </w:r>
      <w:r w:rsidR="00172BB5" w:rsidRPr="00172BB5">
        <w:rPr>
          <w:color w:val="FF3399"/>
        </w:rPr>
        <w:t>Additionally, detail relevant patient history regarding diet and exercise</w:t>
      </w:r>
      <w:r w:rsidR="00172BB5">
        <w:rPr>
          <w:color w:val="FF3399"/>
        </w:rPr>
        <w:t>.</w:t>
      </w:r>
      <w:r>
        <w:rPr>
          <w:color w:val="FF3399"/>
        </w:rPr>
        <w:t>]</w:t>
      </w:r>
    </w:p>
    <w:p w14:paraId="62CF2653" w14:textId="77FB0338" w:rsidR="00BA02B0" w:rsidRDefault="00875DD4">
      <w:pPr>
        <w:pStyle w:val="BodyText"/>
        <w:spacing w:before="160" w:line="256" w:lineRule="auto"/>
        <w:ind w:left="200" w:right="474"/>
      </w:pPr>
      <w:r>
        <w:t xml:space="preserve">In my medical judgment, this patient is an appropriate candidate for treatment with LEQVIO. I have included the </w:t>
      </w:r>
      <w:r w:rsidR="00DD54D2">
        <w:t>full Prescribing Information</w:t>
      </w:r>
      <w:r>
        <w:t xml:space="preserve"> for LEQVIO, as well as supporting clinical data.</w:t>
      </w:r>
    </w:p>
    <w:p w14:paraId="3FFE3870" w14:textId="77777777" w:rsidR="00BA02B0" w:rsidRDefault="00875DD4">
      <w:pPr>
        <w:pStyle w:val="BodyText"/>
        <w:spacing w:before="163" w:line="259" w:lineRule="auto"/>
        <w:ind w:left="200" w:right="413"/>
      </w:pPr>
      <w:r>
        <w:t xml:space="preserve">If you have any further questions about this matter, please feel free to contact me at </w:t>
      </w:r>
      <w:r>
        <w:rPr>
          <w:color w:val="FF3399"/>
        </w:rPr>
        <w:t xml:space="preserve">[physician phone number] </w:t>
      </w:r>
      <w:r>
        <w:t xml:space="preserve">or via email at </w:t>
      </w:r>
      <w:r>
        <w:rPr>
          <w:color w:val="FF3399"/>
        </w:rPr>
        <w:t>[physician email]</w:t>
      </w:r>
      <w:r>
        <w:t>. Thank you for your time and consideration.</w:t>
      </w:r>
    </w:p>
    <w:p w14:paraId="16C7E4F3" w14:textId="77777777" w:rsidR="00BA02B0" w:rsidRDefault="00875DD4">
      <w:pPr>
        <w:pStyle w:val="BodyText"/>
        <w:spacing w:before="160"/>
        <w:ind w:left="200"/>
      </w:pPr>
      <w:r>
        <w:t>Sincerely,</w:t>
      </w:r>
    </w:p>
    <w:p w14:paraId="0DA703F7" w14:textId="77777777" w:rsidR="00BA02B0" w:rsidRDefault="00875DD4">
      <w:pPr>
        <w:pStyle w:val="BodyText"/>
        <w:spacing w:before="182"/>
        <w:ind w:left="200"/>
      </w:pPr>
      <w:r>
        <w:rPr>
          <w:color w:val="FF3399"/>
        </w:rPr>
        <w:t>[Physician’s signature] [Physician name] [Physician NPI] [Name of practice] [Phone number]</w:t>
      </w:r>
    </w:p>
    <w:p w14:paraId="12581326" w14:textId="16F5D987" w:rsidR="00F24779" w:rsidRPr="00F24779" w:rsidRDefault="00875DD4" w:rsidP="00F24779">
      <w:pPr>
        <w:pStyle w:val="BodyText"/>
        <w:spacing w:before="182" w:line="259" w:lineRule="auto"/>
        <w:ind w:left="200" w:right="504"/>
        <w:jc w:val="both"/>
        <w:rPr>
          <w:color w:val="FF3399"/>
        </w:rPr>
      </w:pPr>
      <w:r>
        <w:t xml:space="preserve">Enclosures: </w:t>
      </w:r>
      <w:r>
        <w:rPr>
          <w:color w:val="FF3399"/>
        </w:rPr>
        <w:t>[List and attach additional documents, which may include Prescribing Information, clinical notes/medical records, clinical studies and efficacy data, and/or clinical practice guidelines.]</w:t>
      </w:r>
    </w:p>
    <w:p w14:paraId="1F395DD8" w14:textId="33C70C20" w:rsidR="00BA02B0" w:rsidRDefault="00875DD4" w:rsidP="007F6A3E">
      <w:pPr>
        <w:pStyle w:val="Heading1"/>
        <w:spacing w:before="120" w:line="276" w:lineRule="auto"/>
        <w:ind w:left="198"/>
      </w:pPr>
      <w:r>
        <w:t xml:space="preserve">Please click </w:t>
      </w:r>
      <w:hyperlink r:id="rId4">
        <w:r w:rsidRPr="00583545">
          <w:rPr>
            <w:color w:val="000000" w:themeColor="text1"/>
            <w:u w:val="single"/>
          </w:rPr>
          <w:t>here</w:t>
        </w:r>
        <w:r w:rsidRPr="00583545">
          <w:rPr>
            <w:color w:val="0562C1"/>
          </w:rPr>
          <w:t xml:space="preserve"> </w:t>
        </w:r>
      </w:hyperlink>
      <w:r>
        <w:t>for LEQVIO full Prescribing Information.</w:t>
      </w:r>
    </w:p>
    <w:p w14:paraId="76D1DDA4" w14:textId="5E6FEB8D" w:rsidR="00BA02B0" w:rsidRDefault="00BA02B0">
      <w:pPr>
        <w:pStyle w:val="BodyText"/>
        <w:spacing w:before="5"/>
        <w:rPr>
          <w:b/>
          <w:sz w:val="12"/>
        </w:rPr>
      </w:pPr>
    </w:p>
    <w:p w14:paraId="6C30C2EE" w14:textId="77777777" w:rsidR="00BA02B0" w:rsidRDefault="00BA02B0">
      <w:pPr>
        <w:rPr>
          <w:sz w:val="12"/>
        </w:rPr>
        <w:sectPr w:rsidR="00BA02B0">
          <w:type w:val="continuous"/>
          <w:pgSz w:w="12240" w:h="15840"/>
          <w:pgMar w:top="1400" w:right="1220" w:bottom="280" w:left="1240" w:header="720" w:footer="720" w:gutter="0"/>
          <w:cols w:space="720"/>
        </w:sectPr>
      </w:pPr>
    </w:p>
    <w:p w14:paraId="14038B11" w14:textId="1DF4C811" w:rsidR="00F24779" w:rsidRDefault="00F24779">
      <w:pPr>
        <w:spacing w:before="24"/>
        <w:ind w:left="200"/>
        <w:rPr>
          <w:b/>
          <w:color w:val="6F2F9F"/>
          <w:sz w:val="28"/>
        </w:rPr>
      </w:pPr>
      <w:r>
        <w:rPr>
          <w:noProof/>
        </w:rPr>
        <w:lastRenderedPageBreak/>
        <mc:AlternateContent>
          <mc:Choice Requires="wps">
            <w:drawing>
              <wp:anchor distT="0" distB="0" distL="0" distR="0" simplePos="0" relativeHeight="251658240" behindDoc="1" locked="0" layoutInCell="1" allowOverlap="1" wp14:anchorId="43296F9C" wp14:editId="25288097">
                <wp:simplePos x="0" y="0"/>
                <wp:positionH relativeFrom="page">
                  <wp:posOffset>906780</wp:posOffset>
                </wp:positionH>
                <wp:positionV relativeFrom="paragraph">
                  <wp:posOffset>82098</wp:posOffset>
                </wp:positionV>
                <wp:extent cx="6076950" cy="628015"/>
                <wp:effectExtent l="0" t="0" r="635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6950" cy="6280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BA6F87" w14:textId="77777777" w:rsidR="00BA02B0" w:rsidRDefault="00875DD4">
                            <w:pPr>
                              <w:spacing w:before="35" w:line="259" w:lineRule="auto"/>
                              <w:ind w:left="80" w:right="126"/>
                              <w:rPr>
                                <w:i/>
                                <w:sz w:val="18"/>
                              </w:rPr>
                            </w:pPr>
                            <w:r>
                              <w:rPr>
                                <w:i/>
                                <w:sz w:val="18"/>
                              </w:rPr>
                              <w:t>This letter is provided as an example and is meant for educational purposes only. Novartis cannot guarantee insurance coverage or reimbursement. Coverage and reimbursement may vary significantly by payer, plan, patient, and setting of care. It is the sole responsibility of the health care provider to include the proper information and ensure the accuracy of all statements used in seeking coverage and reimbursement for an individual patient.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96F9C" id="_x0000_t202" coordsize="21600,21600" o:spt="202" path="m,l,21600r21600,l21600,xe">
                <v:stroke joinstyle="miter"/>
                <v:path gradientshapeok="t" o:connecttype="rect"/>
              </v:shapetype>
              <v:shape id="Text Box 2" o:spid="_x0000_s1026" type="#_x0000_t202" style="position:absolute;left:0;text-align:left;margin-left:71.4pt;margin-top:6.45pt;width:478.5pt;height:49.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" filled="f" strokeweight="1pt">
                <v:path arrowok="t"/>
                <v:textbox inset="0,0,0,0">
                  <w:txbxContent>
                    <w:p w14:paraId="6CBA6F87" w14:textId="77777777" w:rsidR="00BA02B0" w:rsidRDefault="00875DD4">
                      <w:pPr>
                        <w:spacing w:before="35" w:line="259" w:lineRule="auto"/>
                        <w:ind w:left="80" w:right="126"/>
                        <w:rPr>
                          <w:i/>
                          <w:sz w:val="18"/>
                        </w:rPr>
                      </w:pPr>
                      <w:r>
                        <w:rPr>
                          <w:i/>
                          <w:sz w:val="18"/>
                        </w:rPr>
                        <w:t>This letter is provided as an example and is meant for educational purposes only. Novartis cannot guarantee insurance coverage or reimbursement. Coverage and reimbursement may vary significantly by payer, plan, patient, and setting of care. It is the sole responsibility of the health care provider to include the proper information and ensure the accuracy of all statements used in seeking coverage and reimbursement for an individual patient.</w:t>
                      </w:r>
                    </w:p>
                  </w:txbxContent>
                </v:textbox>
                <w10:wrap type="topAndBottom" anchorx="page"/>
              </v:shape>
            </w:pict>
          </mc:Fallback>
        </mc:AlternateContent>
      </w:r>
    </w:p>
    <w:p w14:paraId="25B30319" w14:textId="3122C538" w:rsidR="00BA02B0" w:rsidRPr="00ED0B77" w:rsidRDefault="00875DD4">
      <w:pPr>
        <w:spacing w:before="24"/>
        <w:ind w:left="200"/>
        <w:rPr>
          <w:b/>
          <w:color w:val="6F2F9F"/>
        </w:rPr>
      </w:pPr>
      <w:r w:rsidRPr="00ED0B77">
        <w:rPr>
          <w:b/>
          <w:color w:val="6F2F9F"/>
        </w:rPr>
        <w:t>INDICATION &amp; IMPORTANT SAFETY INFORMATION</w:t>
      </w:r>
    </w:p>
    <w:p w14:paraId="61A2A56B" w14:textId="77777777" w:rsidR="00676B2A" w:rsidRPr="00ED0B77" w:rsidRDefault="00676B2A">
      <w:pPr>
        <w:spacing w:before="24"/>
        <w:ind w:left="200"/>
        <w:rPr>
          <w:b/>
        </w:rPr>
      </w:pPr>
    </w:p>
    <w:p w14:paraId="06938BCD" w14:textId="77777777" w:rsidR="000E70BA" w:rsidRPr="00ED0B77" w:rsidRDefault="00875DD4" w:rsidP="00676B2A">
      <w:pPr>
        <w:pStyle w:val="Heading2"/>
        <w:spacing w:before="0"/>
        <w:rPr>
          <w:color w:val="6F2F9F"/>
        </w:rPr>
      </w:pPr>
      <w:r w:rsidRPr="00ED0B77">
        <w:rPr>
          <w:color w:val="6F2F9F"/>
        </w:rPr>
        <w:t>INDICATION</w:t>
      </w:r>
    </w:p>
    <w:p w14:paraId="0A5CC485" w14:textId="6FDB37C6" w:rsidR="000E70BA" w:rsidRPr="00ED0B77" w:rsidRDefault="00676B2A" w:rsidP="00676B2A">
      <w:pPr>
        <w:pStyle w:val="Heading2"/>
        <w:spacing w:before="0"/>
        <w:rPr>
          <w:b w:val="0"/>
          <w:bCs w:val="0"/>
        </w:rPr>
      </w:pPr>
      <w:r w:rsidRPr="00ED0B77">
        <w:rPr>
          <w:b w:val="0"/>
          <w:bCs w:val="0"/>
        </w:rPr>
        <w:t>LEQVIO® (</w:t>
      </w:r>
      <w:proofErr w:type="spellStart"/>
      <w:r w:rsidRPr="00ED0B77">
        <w:rPr>
          <w:b w:val="0"/>
          <w:bCs w:val="0"/>
        </w:rPr>
        <w:t>inclisiran</w:t>
      </w:r>
      <w:proofErr w:type="spellEnd"/>
      <w:r w:rsidRPr="00ED0B77">
        <w:rPr>
          <w:b w:val="0"/>
          <w:bCs w:val="0"/>
        </w:rPr>
        <w:t>) injection is indicated as an adjunct to diet and exercise to reduce low-density lipoprotein cholesterol (LDL-C) in adults with hypercholesterolemia, adults and pediatric patients aged 12 years and older with heterozygous familial hypercholesterolemia (</w:t>
      </w:r>
      <w:proofErr w:type="spellStart"/>
      <w:r w:rsidRPr="00ED0B77">
        <w:rPr>
          <w:b w:val="0"/>
          <w:bCs w:val="0"/>
        </w:rPr>
        <w:t>HeFH</w:t>
      </w:r>
      <w:proofErr w:type="spellEnd"/>
      <w:r w:rsidRPr="00ED0B77">
        <w:rPr>
          <w:b w:val="0"/>
          <w:bCs w:val="0"/>
        </w:rPr>
        <w:t>), and pediatric patients aged 12 years and older with homozygous familial hypercholesterolemia (</w:t>
      </w:r>
      <w:proofErr w:type="spellStart"/>
      <w:r w:rsidRPr="00ED0B77">
        <w:rPr>
          <w:b w:val="0"/>
          <w:bCs w:val="0"/>
        </w:rPr>
        <w:t>HoFH</w:t>
      </w:r>
      <w:proofErr w:type="spellEnd"/>
      <w:r w:rsidRPr="00ED0B77">
        <w:rPr>
          <w:b w:val="0"/>
          <w:bCs w:val="0"/>
        </w:rPr>
        <w:t>).</w:t>
      </w:r>
    </w:p>
    <w:p w14:paraId="1D7DBAAF" w14:textId="77777777" w:rsidR="008671CC" w:rsidRPr="00ED0B77" w:rsidRDefault="008671CC" w:rsidP="008671CC">
      <w:pPr>
        <w:pStyle w:val="Heading2"/>
        <w:spacing w:before="0"/>
        <w:rPr>
          <w:color w:val="6F2F9F"/>
        </w:rPr>
      </w:pPr>
    </w:p>
    <w:p w14:paraId="6029D1F8" w14:textId="29758BB7" w:rsidR="00BA02B0" w:rsidRPr="00ED0B77" w:rsidRDefault="00875DD4" w:rsidP="008671CC">
      <w:pPr>
        <w:pStyle w:val="Heading2"/>
        <w:spacing w:before="0"/>
      </w:pPr>
      <w:r w:rsidRPr="00ED0B77">
        <w:rPr>
          <w:color w:val="6F2F9F"/>
        </w:rPr>
        <w:t>IMPORTANT SAFETY INFORMATION</w:t>
      </w:r>
    </w:p>
    <w:p w14:paraId="421BB432" w14:textId="34ADC613" w:rsidR="009C579A" w:rsidRPr="00ED0B77" w:rsidRDefault="009C579A" w:rsidP="008671CC">
      <w:pPr>
        <w:pStyle w:val="Heading1"/>
        <w:rPr>
          <w:b w:val="0"/>
          <w:bCs w:val="0"/>
          <w:sz w:val="22"/>
          <w:szCs w:val="22"/>
        </w:rPr>
      </w:pPr>
      <w:r w:rsidRPr="00ED0B77">
        <w:rPr>
          <w:color w:val="7030A0"/>
          <w:sz w:val="22"/>
          <w:szCs w:val="22"/>
        </w:rPr>
        <w:t xml:space="preserve">Contraindication: </w:t>
      </w:r>
      <w:r w:rsidRPr="00ED0B77">
        <w:rPr>
          <w:b w:val="0"/>
          <w:bCs w:val="0"/>
          <w:sz w:val="22"/>
          <w:szCs w:val="22"/>
        </w:rPr>
        <w:t xml:space="preserve">LEQVIO is contraindicated in patients with a prior serious hypersensitivity reaction to </w:t>
      </w:r>
      <w:proofErr w:type="spellStart"/>
      <w:r w:rsidRPr="00ED0B77">
        <w:rPr>
          <w:b w:val="0"/>
          <w:bCs w:val="0"/>
          <w:sz w:val="22"/>
          <w:szCs w:val="22"/>
        </w:rPr>
        <w:t>inclisiran</w:t>
      </w:r>
      <w:proofErr w:type="spellEnd"/>
      <w:r w:rsidRPr="00ED0B77">
        <w:rPr>
          <w:b w:val="0"/>
          <w:bCs w:val="0"/>
          <w:sz w:val="22"/>
          <w:szCs w:val="22"/>
        </w:rPr>
        <w:t xml:space="preserve"> or any of the excipients in LEQVIO. Serious hypersensitivity reactions have included anaphylaxis and angioedema. </w:t>
      </w:r>
    </w:p>
    <w:p w14:paraId="4D1F3BCB" w14:textId="77777777" w:rsidR="00B76978" w:rsidRPr="00ED0B77" w:rsidRDefault="00B76978" w:rsidP="008671CC">
      <w:pPr>
        <w:pStyle w:val="Heading1"/>
        <w:rPr>
          <w:b w:val="0"/>
          <w:bCs w:val="0"/>
          <w:sz w:val="22"/>
          <w:szCs w:val="22"/>
        </w:rPr>
      </w:pPr>
    </w:p>
    <w:p w14:paraId="3BDCC4FF" w14:textId="0994A577" w:rsidR="009C579A" w:rsidRPr="00ED0B77" w:rsidRDefault="009C579A" w:rsidP="008671CC">
      <w:pPr>
        <w:pStyle w:val="Heading1"/>
        <w:rPr>
          <w:b w:val="0"/>
          <w:bCs w:val="0"/>
          <w:sz w:val="22"/>
          <w:szCs w:val="22"/>
        </w:rPr>
      </w:pPr>
      <w:r w:rsidRPr="00ED0B77">
        <w:rPr>
          <w:color w:val="7030A0"/>
          <w:sz w:val="22"/>
          <w:szCs w:val="22"/>
        </w:rPr>
        <w:t xml:space="preserve">Hypersensitivity Reactions: </w:t>
      </w:r>
      <w:r w:rsidRPr="00ED0B77">
        <w:rPr>
          <w:b w:val="0"/>
          <w:bCs w:val="0"/>
          <w:sz w:val="22"/>
          <w:szCs w:val="22"/>
        </w:rPr>
        <w:t>Hypersensitivity reactions, including anaphylaxis and angioedema</w:t>
      </w:r>
      <w:r w:rsidR="005A27DB">
        <w:rPr>
          <w:b w:val="0"/>
          <w:bCs w:val="0"/>
          <w:sz w:val="22"/>
          <w:szCs w:val="22"/>
        </w:rPr>
        <w:t>,</w:t>
      </w:r>
      <w:r w:rsidRPr="00ED0B77">
        <w:rPr>
          <w:b w:val="0"/>
          <w:bCs w:val="0"/>
          <w:sz w:val="22"/>
          <w:szCs w:val="22"/>
        </w:rPr>
        <w:t xml:space="preserve"> have been reported in patients treated with LEQVIO. Advise patients on the signs and symptoms of hypersensitivity reactions and instruct patients to seek medical attention promptly. </w:t>
      </w:r>
    </w:p>
    <w:p w14:paraId="0921D9AA" w14:textId="77777777" w:rsidR="00B76978" w:rsidRPr="00ED0B77" w:rsidRDefault="00B76978" w:rsidP="008671CC">
      <w:pPr>
        <w:pStyle w:val="Heading1"/>
        <w:rPr>
          <w:b w:val="0"/>
          <w:bCs w:val="0"/>
          <w:sz w:val="22"/>
          <w:szCs w:val="22"/>
        </w:rPr>
      </w:pPr>
    </w:p>
    <w:p w14:paraId="025EEE12" w14:textId="1F7E3485" w:rsidR="00676B2A" w:rsidRPr="00ED0B77" w:rsidRDefault="009C579A" w:rsidP="008671CC">
      <w:pPr>
        <w:pStyle w:val="Heading1"/>
        <w:rPr>
          <w:b w:val="0"/>
          <w:bCs w:val="0"/>
          <w:sz w:val="22"/>
          <w:szCs w:val="22"/>
        </w:rPr>
      </w:pPr>
      <w:r w:rsidRPr="00ED0B77">
        <w:rPr>
          <w:color w:val="7030A0"/>
          <w:sz w:val="22"/>
          <w:szCs w:val="22"/>
        </w:rPr>
        <w:t xml:space="preserve">Adverse Reactions: </w:t>
      </w:r>
      <w:r w:rsidRPr="00ED0B77">
        <w:rPr>
          <w:b w:val="0"/>
          <w:bCs w:val="0"/>
          <w:sz w:val="22"/>
          <w:szCs w:val="22"/>
        </w:rPr>
        <w:t xml:space="preserve">Adverse reactions in clinical trials (≥3% of adult patients treated with LEQVIO and more frequently than placebo) were injection site reaction, arthralgia, and bronchitis. The safety profile in pediatric patients aged 12 years and older with </w:t>
      </w:r>
      <w:proofErr w:type="spellStart"/>
      <w:r w:rsidRPr="00ED0B77">
        <w:rPr>
          <w:b w:val="0"/>
          <w:bCs w:val="0"/>
          <w:sz w:val="22"/>
          <w:szCs w:val="22"/>
        </w:rPr>
        <w:t>HeFH</w:t>
      </w:r>
      <w:proofErr w:type="spellEnd"/>
      <w:r w:rsidRPr="00ED0B77">
        <w:rPr>
          <w:b w:val="0"/>
          <w:bCs w:val="0"/>
          <w:sz w:val="22"/>
          <w:szCs w:val="22"/>
        </w:rPr>
        <w:t xml:space="preserve"> or </w:t>
      </w:r>
      <w:proofErr w:type="spellStart"/>
      <w:r w:rsidRPr="00ED0B77">
        <w:rPr>
          <w:b w:val="0"/>
          <w:bCs w:val="0"/>
          <w:sz w:val="22"/>
          <w:szCs w:val="22"/>
        </w:rPr>
        <w:t>HoFH</w:t>
      </w:r>
      <w:proofErr w:type="spellEnd"/>
      <w:r w:rsidRPr="00ED0B77">
        <w:rPr>
          <w:b w:val="0"/>
          <w:bCs w:val="0"/>
          <w:sz w:val="22"/>
          <w:szCs w:val="22"/>
        </w:rPr>
        <w:t xml:space="preserve"> was consistent with adult patients with hypercholesterolemia, except for a higher frequency of headache in pediatric patients with </w:t>
      </w:r>
      <w:proofErr w:type="spellStart"/>
      <w:r w:rsidRPr="00ED0B77">
        <w:rPr>
          <w:b w:val="0"/>
          <w:bCs w:val="0"/>
          <w:sz w:val="22"/>
          <w:szCs w:val="22"/>
        </w:rPr>
        <w:t>HeFH</w:t>
      </w:r>
      <w:proofErr w:type="spellEnd"/>
      <w:r w:rsidRPr="00ED0B77">
        <w:rPr>
          <w:b w:val="0"/>
          <w:bCs w:val="0"/>
          <w:sz w:val="22"/>
          <w:szCs w:val="22"/>
        </w:rPr>
        <w:t>.</w:t>
      </w:r>
    </w:p>
    <w:p w14:paraId="3CA69B86" w14:textId="77777777" w:rsidR="00676B2A" w:rsidRPr="00ED0B77" w:rsidRDefault="00676B2A">
      <w:pPr>
        <w:pStyle w:val="Heading1"/>
        <w:spacing w:before="161"/>
        <w:rPr>
          <w:b w:val="0"/>
          <w:bCs w:val="0"/>
          <w:sz w:val="22"/>
          <w:szCs w:val="22"/>
        </w:rPr>
      </w:pPr>
    </w:p>
    <w:p w14:paraId="5083BA8E" w14:textId="0EDFD978" w:rsidR="00BA02B0" w:rsidRPr="00ED0B77" w:rsidRDefault="00875DD4">
      <w:pPr>
        <w:pStyle w:val="Heading1"/>
        <w:spacing w:before="161"/>
        <w:rPr>
          <w:sz w:val="22"/>
          <w:szCs w:val="22"/>
        </w:rPr>
      </w:pPr>
      <w:r w:rsidRPr="00ED0B77">
        <w:rPr>
          <w:sz w:val="22"/>
          <w:szCs w:val="22"/>
        </w:rPr>
        <w:t xml:space="preserve">Please click </w:t>
      </w:r>
      <w:hyperlink r:id="rId5">
        <w:r w:rsidRPr="00ED0B77">
          <w:rPr>
            <w:color w:val="000000" w:themeColor="text1"/>
            <w:sz w:val="22"/>
            <w:szCs w:val="22"/>
            <w:u w:val="single"/>
          </w:rPr>
          <w:t>here</w:t>
        </w:r>
        <w:r w:rsidRPr="00ED0B77">
          <w:rPr>
            <w:color w:val="0562C1"/>
            <w:sz w:val="22"/>
            <w:szCs w:val="22"/>
          </w:rPr>
          <w:t xml:space="preserve"> </w:t>
        </w:r>
      </w:hyperlink>
      <w:r w:rsidRPr="00ED0B77">
        <w:rPr>
          <w:sz w:val="22"/>
          <w:szCs w:val="22"/>
        </w:rPr>
        <w:t>for LEQVIO full Prescribing Information.</w:t>
      </w:r>
    </w:p>
    <w:p w14:paraId="6898C7F4" w14:textId="77777777" w:rsidR="00BA02B0" w:rsidRPr="00ED0B77" w:rsidRDefault="00BA02B0">
      <w:pPr>
        <w:pStyle w:val="BodyText"/>
        <w:rPr>
          <w:b/>
        </w:rPr>
      </w:pPr>
    </w:p>
    <w:p w14:paraId="483BCAD6" w14:textId="77777777" w:rsidR="00BA02B0" w:rsidRDefault="00BA02B0">
      <w:pPr>
        <w:pStyle w:val="BodyText"/>
        <w:rPr>
          <w:b/>
          <w:sz w:val="20"/>
        </w:rPr>
      </w:pPr>
    </w:p>
    <w:p w14:paraId="38E13C80" w14:textId="77777777" w:rsidR="00BA02B0" w:rsidRDefault="00BA02B0">
      <w:pPr>
        <w:pStyle w:val="BodyText"/>
        <w:rPr>
          <w:b/>
          <w:sz w:val="20"/>
        </w:rPr>
      </w:pPr>
    </w:p>
    <w:p w14:paraId="33DABC4A" w14:textId="77777777" w:rsidR="00BA02B0" w:rsidRDefault="00BA02B0">
      <w:pPr>
        <w:pStyle w:val="BodyText"/>
        <w:rPr>
          <w:b/>
          <w:sz w:val="20"/>
        </w:rPr>
      </w:pPr>
    </w:p>
    <w:p w14:paraId="697628CA" w14:textId="77777777" w:rsidR="00BA02B0" w:rsidRDefault="00BA02B0">
      <w:pPr>
        <w:pStyle w:val="BodyText"/>
        <w:rPr>
          <w:b/>
          <w:sz w:val="20"/>
        </w:rPr>
      </w:pPr>
    </w:p>
    <w:p w14:paraId="7507B947" w14:textId="77777777" w:rsidR="00BA02B0" w:rsidRDefault="00BA02B0">
      <w:pPr>
        <w:pStyle w:val="BodyText"/>
        <w:rPr>
          <w:b/>
          <w:sz w:val="20"/>
        </w:rPr>
      </w:pPr>
    </w:p>
    <w:p w14:paraId="445BC836" w14:textId="77777777" w:rsidR="00BA02B0" w:rsidRDefault="00BA02B0">
      <w:pPr>
        <w:pStyle w:val="BodyText"/>
        <w:rPr>
          <w:b/>
          <w:sz w:val="20"/>
        </w:rPr>
      </w:pPr>
    </w:p>
    <w:p w14:paraId="101C9D5B" w14:textId="77777777" w:rsidR="00BA02B0" w:rsidRDefault="00BA02B0">
      <w:pPr>
        <w:pStyle w:val="BodyText"/>
        <w:rPr>
          <w:b/>
          <w:sz w:val="20"/>
        </w:rPr>
      </w:pPr>
    </w:p>
    <w:p w14:paraId="34CD6874" w14:textId="77777777" w:rsidR="00BA02B0" w:rsidRDefault="00BA02B0">
      <w:pPr>
        <w:pStyle w:val="BodyText"/>
        <w:rPr>
          <w:b/>
          <w:sz w:val="20"/>
        </w:rPr>
      </w:pPr>
    </w:p>
    <w:p w14:paraId="472CED0D" w14:textId="77777777" w:rsidR="00BA02B0" w:rsidRDefault="00BA02B0">
      <w:pPr>
        <w:pStyle w:val="BodyText"/>
        <w:rPr>
          <w:b/>
          <w:sz w:val="20"/>
        </w:rPr>
      </w:pPr>
    </w:p>
    <w:p w14:paraId="7D9F17CF" w14:textId="77777777" w:rsidR="003A0369" w:rsidRDefault="003A0369">
      <w:pPr>
        <w:pStyle w:val="BodyText"/>
        <w:rPr>
          <w:b/>
          <w:sz w:val="20"/>
        </w:rPr>
      </w:pPr>
    </w:p>
    <w:p w14:paraId="4165E50B" w14:textId="77777777" w:rsidR="003A0369" w:rsidRDefault="003A0369">
      <w:pPr>
        <w:pStyle w:val="BodyText"/>
        <w:rPr>
          <w:b/>
          <w:sz w:val="20"/>
        </w:rPr>
      </w:pPr>
    </w:p>
    <w:p w14:paraId="069E996C" w14:textId="77777777" w:rsidR="003A0369" w:rsidRDefault="003A0369">
      <w:pPr>
        <w:pStyle w:val="BodyText"/>
        <w:rPr>
          <w:b/>
          <w:sz w:val="20"/>
        </w:rPr>
      </w:pPr>
    </w:p>
    <w:p w14:paraId="30F7B868" w14:textId="77777777" w:rsidR="003A0369" w:rsidRDefault="003A0369">
      <w:pPr>
        <w:pStyle w:val="BodyText"/>
        <w:rPr>
          <w:b/>
          <w:sz w:val="20"/>
        </w:rPr>
      </w:pPr>
    </w:p>
    <w:p w14:paraId="7394D4A7" w14:textId="77777777" w:rsidR="00A63CCE" w:rsidRDefault="00A63CCE" w:rsidP="00A63CCE">
      <w:pPr>
        <w:pStyle w:val="BodyText"/>
        <w:spacing w:before="93" w:line="484" w:lineRule="auto"/>
        <w:ind w:right="1615"/>
        <w:rPr>
          <w:b/>
          <w:sz w:val="23"/>
        </w:rPr>
      </w:pPr>
    </w:p>
    <w:p w14:paraId="40A8914E" w14:textId="77777777" w:rsidR="00BE15A9" w:rsidRDefault="00A63CCE" w:rsidP="00A63CCE">
      <w:pPr>
        <w:widowControl/>
        <w:autoSpaceDE/>
        <w:autoSpaceDN/>
        <w:rPr>
          <w:rFonts w:ascii="Aptos" w:eastAsia="Aptos" w:hAnsi="Aptos" w:cs="Times New Roman"/>
          <w:kern w:val="2"/>
          <w:sz w:val="20"/>
          <w:szCs w:val="20"/>
          <w14:ligatures w14:val="standardContextual"/>
        </w:rPr>
      </w:pPr>
      <w:r w:rsidRPr="00A63CCE">
        <w:rPr>
          <w:rFonts w:ascii="Aptos" w:eastAsia="Aptos" w:hAnsi="Aptos" w:cs="Times New Roman"/>
          <w:kern w:val="2"/>
          <w:sz w:val="20"/>
          <w:szCs w:val="20"/>
          <w14:ligatures w14:val="standardContextual"/>
        </w:rPr>
        <w:t>Licensed from Alnylam Pharmaceuticals, Inc.</w:t>
      </w:r>
    </w:p>
    <w:p w14:paraId="161B3961" w14:textId="1C8F4DCE" w:rsidR="00A63CCE" w:rsidRPr="00A63CCE" w:rsidRDefault="00A63CCE" w:rsidP="00A63CCE">
      <w:pPr>
        <w:widowControl/>
        <w:autoSpaceDE/>
        <w:autoSpaceDN/>
        <w:rPr>
          <w:rFonts w:ascii="Aptos" w:eastAsia="Aptos" w:hAnsi="Aptos" w:cs="Times New Roman"/>
          <w:kern w:val="2"/>
          <w:sz w:val="20"/>
          <w:szCs w:val="20"/>
          <w14:ligatures w14:val="standardContextual"/>
        </w:rPr>
      </w:pPr>
      <w:r w:rsidRPr="00A63CCE">
        <w:rPr>
          <w:rFonts w:ascii="Aptos" w:eastAsia="Aptos" w:hAnsi="Aptos" w:cs="Times New Roman"/>
          <w:noProof/>
          <w:kern w:val="2"/>
          <w14:ligatures w14:val="standardContextual"/>
        </w:rPr>
        <w:drawing>
          <wp:anchor distT="0" distB="0" distL="114300" distR="114300" simplePos="0" relativeHeight="251660288" behindDoc="1" locked="0" layoutInCell="1" allowOverlap="1" wp14:anchorId="5CFAA896" wp14:editId="17225EBB">
            <wp:simplePos x="0" y="0"/>
            <wp:positionH relativeFrom="margin">
              <wp:posOffset>-334632</wp:posOffset>
            </wp:positionH>
            <wp:positionV relativeFrom="paragraph">
              <wp:posOffset>231775</wp:posOffset>
            </wp:positionV>
            <wp:extent cx="1417320" cy="255905"/>
            <wp:effectExtent l="0" t="0" r="0" b="0"/>
            <wp:wrapTight wrapText="bothSides">
              <wp:wrapPolygon edited="0">
                <wp:start x="581" y="0"/>
                <wp:lineTo x="0" y="1608"/>
                <wp:lineTo x="0" y="16079"/>
                <wp:lineTo x="290" y="19295"/>
                <wp:lineTo x="21194" y="19295"/>
                <wp:lineTo x="21194" y="4824"/>
                <wp:lineTo x="2613" y="0"/>
                <wp:lineTo x="581" y="0"/>
              </wp:wrapPolygon>
            </wp:wrapTight>
            <wp:docPr id="910817976" name="Picture 9108179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a:stretch>
                      <a:fillRect/>
                    </a:stretch>
                  </pic:blipFill>
                  <pic:spPr>
                    <a:xfrm>
                      <a:off x="0" y="0"/>
                      <a:ext cx="1417320" cy="255905"/>
                    </a:xfrm>
                    <a:prstGeom prst="rect">
                      <a:avLst/>
                    </a:prstGeom>
                  </pic:spPr>
                </pic:pic>
              </a:graphicData>
            </a:graphic>
            <wp14:sizeRelH relativeFrom="margin">
              <wp14:pctWidth>0</wp14:pctWidth>
            </wp14:sizeRelH>
            <wp14:sizeRelV relativeFrom="margin">
              <wp14:pctHeight>0</wp14:pctHeight>
            </wp14:sizeRelV>
          </wp:anchor>
        </w:drawing>
      </w:r>
    </w:p>
    <w:p w14:paraId="2D74FC21" w14:textId="77777777" w:rsidR="00A63CCE" w:rsidRPr="00A63CCE" w:rsidRDefault="00A63CCE" w:rsidP="00A63CCE">
      <w:pPr>
        <w:widowControl/>
        <w:autoSpaceDE/>
        <w:autoSpaceDN/>
        <w:rPr>
          <w:rFonts w:ascii="Aptos" w:eastAsia="Aptos" w:hAnsi="Aptos" w:cs="Times New Roman"/>
          <w:kern w:val="2"/>
          <w14:ligatures w14:val="standardContextual"/>
        </w:rPr>
      </w:pPr>
    </w:p>
    <w:p w14:paraId="7BF9592C" w14:textId="77777777" w:rsidR="00A63CCE" w:rsidRDefault="00A63CCE" w:rsidP="00A63CCE">
      <w:pPr>
        <w:widowControl/>
        <w:autoSpaceDE/>
        <w:autoSpaceDN/>
        <w:rPr>
          <w:rFonts w:ascii="Aptos" w:eastAsia="Aptos" w:hAnsi="Aptos" w:cs="Times New Roman"/>
          <w:b/>
          <w:kern w:val="2"/>
          <w14:ligatures w14:val="standardContextual"/>
        </w:rPr>
      </w:pPr>
    </w:p>
    <w:p w14:paraId="6AF80584" w14:textId="77777777" w:rsidR="000D723B" w:rsidRPr="00A63CCE" w:rsidRDefault="000D723B" w:rsidP="00A63CCE">
      <w:pPr>
        <w:widowControl/>
        <w:autoSpaceDE/>
        <w:autoSpaceDN/>
        <w:rPr>
          <w:rFonts w:ascii="Aptos" w:eastAsia="Aptos" w:hAnsi="Aptos" w:cs="Times New Roman"/>
          <w:b/>
          <w:kern w:val="2"/>
          <w14:ligatures w14:val="standardContextual"/>
        </w:rPr>
      </w:pPr>
    </w:p>
    <w:p w14:paraId="2AEFF117" w14:textId="77777777" w:rsidR="000D723B" w:rsidRPr="000D723B" w:rsidRDefault="000D723B" w:rsidP="000D723B">
      <w:pPr>
        <w:widowControl/>
        <w:autoSpaceDE/>
        <w:autoSpaceDN/>
        <w:rPr>
          <w:rFonts w:ascii="Aptos" w:eastAsia="Aptos" w:hAnsi="Aptos" w:cs="Times New Roman"/>
          <w:b/>
          <w:bCs/>
          <w:kern w:val="2"/>
          <w:sz w:val="20"/>
          <w:szCs w:val="20"/>
          <w14:ligatures w14:val="standardContextual"/>
        </w:rPr>
      </w:pPr>
      <w:r w:rsidRPr="000D723B">
        <w:rPr>
          <w:rFonts w:ascii="Aptos" w:eastAsia="Aptos" w:hAnsi="Aptos" w:cs="Times New Roman"/>
          <w:b/>
          <w:bCs/>
          <w:kern w:val="2"/>
          <w:sz w:val="20"/>
          <w:szCs w:val="20"/>
          <w14:ligatures w14:val="standardContextual"/>
        </w:rPr>
        <w:t>Novartis Pharmaceuticals Corporation</w:t>
      </w:r>
    </w:p>
    <w:p w14:paraId="650A736A" w14:textId="407A5491" w:rsidR="00A63CCE" w:rsidRPr="00A63CCE" w:rsidRDefault="00A63CCE" w:rsidP="00A63CCE">
      <w:pPr>
        <w:widowControl/>
        <w:autoSpaceDE/>
        <w:autoSpaceDN/>
        <w:rPr>
          <w:rFonts w:ascii="Aptos" w:eastAsia="Aptos" w:hAnsi="Aptos" w:cs="Times New Roman"/>
          <w:kern w:val="2"/>
          <w:sz w:val="20"/>
          <w:szCs w:val="20"/>
          <w14:ligatures w14:val="standardContextual"/>
        </w:rPr>
      </w:pPr>
      <w:r w:rsidRPr="00A63CCE">
        <w:rPr>
          <w:rFonts w:ascii="Aptos" w:eastAsia="Aptos" w:hAnsi="Aptos" w:cs="Times New Roman"/>
          <w:kern w:val="2"/>
          <w:sz w:val="20"/>
          <w:szCs w:val="20"/>
          <w14:ligatures w14:val="standardContextual"/>
        </w:rPr>
        <w:t xml:space="preserve">East Hanover, New Jersey 07936-1080                               © 2026 Novartis                                 </w:t>
      </w:r>
      <w:r>
        <w:rPr>
          <w:rFonts w:ascii="Aptos" w:eastAsia="Aptos" w:hAnsi="Aptos" w:cs="Times New Roman"/>
          <w:kern w:val="2"/>
          <w:sz w:val="20"/>
          <w:szCs w:val="20"/>
          <w14:ligatures w14:val="standardContextual"/>
        </w:rPr>
        <w:t>3</w:t>
      </w:r>
      <w:r w:rsidRPr="00A63CCE">
        <w:rPr>
          <w:rFonts w:ascii="Aptos" w:eastAsia="Aptos" w:hAnsi="Aptos" w:cs="Times New Roman"/>
          <w:kern w:val="2"/>
          <w:sz w:val="20"/>
          <w:szCs w:val="20"/>
          <w14:ligatures w14:val="standardContextual"/>
        </w:rPr>
        <w:t xml:space="preserve">/26                         </w:t>
      </w:r>
      <w:r w:rsidR="00626E8A" w:rsidRPr="00626E8A">
        <w:rPr>
          <w:rFonts w:ascii="Aptos" w:eastAsia="Aptos" w:hAnsi="Aptos" w:cs="Times New Roman"/>
          <w:color w:val="000000"/>
          <w:kern w:val="2"/>
          <w:sz w:val="20"/>
          <w:szCs w:val="20"/>
          <w14:ligatures w14:val="standardContextual"/>
        </w:rPr>
        <w:t>FA-11606408</w:t>
      </w:r>
    </w:p>
    <w:sectPr w:rsidR="00A63CCE" w:rsidRPr="00A63CCE">
      <w:pgSz w:w="12240" w:h="15840"/>
      <w:pgMar w:top="1420" w:right="12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B0"/>
    <w:rsid w:val="00044B06"/>
    <w:rsid w:val="000D723B"/>
    <w:rsid w:val="000E70BA"/>
    <w:rsid w:val="00172BB5"/>
    <w:rsid w:val="00263664"/>
    <w:rsid w:val="003A0369"/>
    <w:rsid w:val="00444DF4"/>
    <w:rsid w:val="00501090"/>
    <w:rsid w:val="0053547F"/>
    <w:rsid w:val="00564E2C"/>
    <w:rsid w:val="00581729"/>
    <w:rsid w:val="00583545"/>
    <w:rsid w:val="00583A6F"/>
    <w:rsid w:val="00590867"/>
    <w:rsid w:val="005A27DB"/>
    <w:rsid w:val="00626E8A"/>
    <w:rsid w:val="00661A54"/>
    <w:rsid w:val="00676B2A"/>
    <w:rsid w:val="00691EC9"/>
    <w:rsid w:val="006A17E6"/>
    <w:rsid w:val="006F4BB0"/>
    <w:rsid w:val="0070337E"/>
    <w:rsid w:val="007A389B"/>
    <w:rsid w:val="007F6A3E"/>
    <w:rsid w:val="00837A46"/>
    <w:rsid w:val="008647E6"/>
    <w:rsid w:val="008671CC"/>
    <w:rsid w:val="00875DD4"/>
    <w:rsid w:val="008D2278"/>
    <w:rsid w:val="009179FE"/>
    <w:rsid w:val="00923275"/>
    <w:rsid w:val="00950E5B"/>
    <w:rsid w:val="00971B41"/>
    <w:rsid w:val="009C579A"/>
    <w:rsid w:val="00A46EF8"/>
    <w:rsid w:val="00A5387A"/>
    <w:rsid w:val="00A63CCE"/>
    <w:rsid w:val="00A66AEB"/>
    <w:rsid w:val="00AD7BD8"/>
    <w:rsid w:val="00AE0203"/>
    <w:rsid w:val="00B76978"/>
    <w:rsid w:val="00BA02B0"/>
    <w:rsid w:val="00BA090E"/>
    <w:rsid w:val="00BE15A9"/>
    <w:rsid w:val="00C10359"/>
    <w:rsid w:val="00C3736E"/>
    <w:rsid w:val="00CD420A"/>
    <w:rsid w:val="00D26311"/>
    <w:rsid w:val="00D6080B"/>
    <w:rsid w:val="00D62A40"/>
    <w:rsid w:val="00DC3C96"/>
    <w:rsid w:val="00DD54D2"/>
    <w:rsid w:val="00E155A3"/>
    <w:rsid w:val="00E16886"/>
    <w:rsid w:val="00E35024"/>
    <w:rsid w:val="00E67DFB"/>
    <w:rsid w:val="00E95E42"/>
    <w:rsid w:val="00ED0B77"/>
    <w:rsid w:val="00F24779"/>
    <w:rsid w:val="00F31CB0"/>
    <w:rsid w:val="00F82BF5"/>
    <w:rsid w:val="00FA00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363A"/>
  <w15:docId w15:val="{1A25E972-DF33-774E-B811-2C2B1869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200"/>
      <w:outlineLvl w:val="0"/>
    </w:pPr>
    <w:rPr>
      <w:b/>
      <w:bCs/>
      <w:sz w:val="24"/>
      <w:szCs w:val="24"/>
    </w:rPr>
  </w:style>
  <w:style w:type="paragraph" w:styleId="Heading2">
    <w:name w:val="heading 2"/>
    <w:basedOn w:val="Normal"/>
    <w:uiPriority w:val="9"/>
    <w:unhideWhenUsed/>
    <w:qFormat/>
    <w:pPr>
      <w:spacing w:before="10"/>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2239">
      <w:bodyDiv w:val="1"/>
      <w:marLeft w:val="0"/>
      <w:marRight w:val="0"/>
      <w:marTop w:val="0"/>
      <w:marBottom w:val="0"/>
      <w:divBdr>
        <w:top w:val="none" w:sz="0" w:space="0" w:color="auto"/>
        <w:left w:val="none" w:sz="0" w:space="0" w:color="auto"/>
        <w:bottom w:val="none" w:sz="0" w:space="0" w:color="auto"/>
        <w:right w:val="none" w:sz="0" w:space="0" w:color="auto"/>
      </w:divBdr>
    </w:div>
    <w:div w:id="777525928">
      <w:bodyDiv w:val="1"/>
      <w:marLeft w:val="0"/>
      <w:marRight w:val="0"/>
      <w:marTop w:val="0"/>
      <w:marBottom w:val="0"/>
      <w:divBdr>
        <w:top w:val="none" w:sz="0" w:space="0" w:color="auto"/>
        <w:left w:val="none" w:sz="0" w:space="0" w:color="auto"/>
        <w:bottom w:val="none" w:sz="0" w:space="0" w:color="auto"/>
        <w:right w:val="none" w:sz="0" w:space="0" w:color="auto"/>
      </w:divBdr>
    </w:div>
    <w:div w:id="788664201">
      <w:bodyDiv w:val="1"/>
      <w:marLeft w:val="0"/>
      <w:marRight w:val="0"/>
      <w:marTop w:val="0"/>
      <w:marBottom w:val="0"/>
      <w:divBdr>
        <w:top w:val="none" w:sz="0" w:space="0" w:color="auto"/>
        <w:left w:val="none" w:sz="0" w:space="0" w:color="auto"/>
        <w:bottom w:val="none" w:sz="0" w:space="0" w:color="auto"/>
        <w:right w:val="none" w:sz="0" w:space="0" w:color="auto"/>
      </w:divBdr>
    </w:div>
    <w:div w:id="834416373">
      <w:bodyDiv w:val="1"/>
      <w:marLeft w:val="0"/>
      <w:marRight w:val="0"/>
      <w:marTop w:val="0"/>
      <w:marBottom w:val="0"/>
      <w:divBdr>
        <w:top w:val="none" w:sz="0" w:space="0" w:color="auto"/>
        <w:left w:val="none" w:sz="0" w:space="0" w:color="auto"/>
        <w:bottom w:val="none" w:sz="0" w:space="0" w:color="auto"/>
        <w:right w:val="none" w:sz="0" w:space="0" w:color="auto"/>
      </w:divBdr>
    </w:div>
    <w:div w:id="1173450470">
      <w:bodyDiv w:val="1"/>
      <w:marLeft w:val="0"/>
      <w:marRight w:val="0"/>
      <w:marTop w:val="0"/>
      <w:marBottom w:val="0"/>
      <w:divBdr>
        <w:top w:val="none" w:sz="0" w:space="0" w:color="auto"/>
        <w:left w:val="none" w:sz="0" w:space="0" w:color="auto"/>
        <w:bottom w:val="none" w:sz="0" w:space="0" w:color="auto"/>
        <w:right w:val="none" w:sz="0" w:space="0" w:color="auto"/>
      </w:divBdr>
    </w:div>
    <w:div w:id="1438675716">
      <w:bodyDiv w:val="1"/>
      <w:marLeft w:val="0"/>
      <w:marRight w:val="0"/>
      <w:marTop w:val="0"/>
      <w:marBottom w:val="0"/>
      <w:divBdr>
        <w:top w:val="none" w:sz="0" w:space="0" w:color="auto"/>
        <w:left w:val="none" w:sz="0" w:space="0" w:color="auto"/>
        <w:bottom w:val="none" w:sz="0" w:space="0" w:color="auto"/>
        <w:right w:val="none" w:sz="0" w:space="0" w:color="auto"/>
      </w:divBdr>
    </w:div>
    <w:div w:id="189597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novartis.com/us-en/sites/novartis_us/files/leqvio.pdf" TargetMode="External"/><Relationship Id="rId4" Type="http://schemas.openxmlformats.org/officeDocument/2006/relationships/hyperlink" Target="https://www.novartis.com/us-en/sites/novartis_us/files/leqv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652</Words>
  <Characters>4091</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Keating</dc:creator>
  <cp:lastModifiedBy>John Cassidy</cp:lastModifiedBy>
  <cp:revision>26</cp:revision>
  <cp:lastPrinted>2023-07-07T03:32:00Z</cp:lastPrinted>
  <dcterms:created xsi:type="dcterms:W3CDTF">2025-09-05T17:57:00Z</dcterms:created>
  <dcterms:modified xsi:type="dcterms:W3CDTF">2026-03-12T13:09:00Z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vt:lpwstr>
  </property>
  <property fmtid="{D5CDD505-2E9C-101B-9397-08002B2CF9AE}" pid="4" name="LastSaved">
    <vt:filetime>2023-07-07T00:00:00Z</vt:filetime>
  </property>
</Properties>
</file>