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1F62" w14:textId="3E6A2CE7" w:rsidR="009D5568" w:rsidRPr="0061025C" w:rsidRDefault="00BB4879">
      <w:pPr>
        <w:pStyle w:val="Heading2"/>
        <w:spacing w:before="36"/>
        <w:rPr>
          <w:sz w:val="21"/>
          <w:szCs w:val="21"/>
        </w:rPr>
      </w:pPr>
      <w:bookmarkStart w:id="0" w:name="_Hlk140477081"/>
      <w:r w:rsidRPr="0061025C">
        <w:rPr>
          <w:sz w:val="21"/>
          <w:szCs w:val="21"/>
        </w:rPr>
        <w:t>Letter of Appeal template</w:t>
      </w:r>
    </w:p>
    <w:p w14:paraId="487DBD74" w14:textId="31C681BD" w:rsidR="009D5568" w:rsidRPr="0061025C" w:rsidRDefault="00BB4879">
      <w:pPr>
        <w:spacing w:before="181" w:line="259" w:lineRule="auto"/>
        <w:ind w:left="100" w:right="185"/>
        <w:rPr>
          <w:i/>
          <w:sz w:val="21"/>
          <w:szCs w:val="21"/>
        </w:rPr>
      </w:pPr>
      <w:bookmarkStart w:id="1" w:name="_Hlk140477227"/>
      <w:r w:rsidRPr="0061025C">
        <w:rPr>
          <w:i/>
          <w:sz w:val="21"/>
          <w:szCs w:val="21"/>
        </w:rPr>
        <w:t xml:space="preserve">The information below can be used as a starting point for developing a letter of appeal. All </w:t>
      </w:r>
      <w:r w:rsidRPr="0061025C">
        <w:rPr>
          <w:i/>
          <w:color w:val="006FC0"/>
          <w:sz w:val="21"/>
          <w:szCs w:val="21"/>
        </w:rPr>
        <w:t xml:space="preserve">blue </w:t>
      </w:r>
      <w:r w:rsidRPr="0061025C">
        <w:rPr>
          <w:i/>
          <w:sz w:val="21"/>
          <w:szCs w:val="21"/>
        </w:rPr>
        <w:t xml:space="preserve">content describes the kind of information typically required and is not intended to be included in your final letter of appeal. All </w:t>
      </w:r>
      <w:r w:rsidRPr="0061025C">
        <w:rPr>
          <w:i/>
          <w:color w:val="FF3399"/>
          <w:sz w:val="21"/>
          <w:szCs w:val="21"/>
        </w:rPr>
        <w:t>pink</w:t>
      </w:r>
      <w:r w:rsidR="00370B19" w:rsidRPr="007555C0">
        <w:rPr>
          <w:i/>
          <w:color w:val="FF3399"/>
          <w:sz w:val="21"/>
          <w:szCs w:val="21"/>
        </w:rPr>
        <w:t>/</w:t>
      </w:r>
      <w:r w:rsidRPr="007555C0">
        <w:rPr>
          <w:i/>
          <w:color w:val="FF3399"/>
          <w:sz w:val="21"/>
          <w:szCs w:val="21"/>
        </w:rPr>
        <w:t>bracketed</w:t>
      </w:r>
      <w:r w:rsidRPr="0061025C">
        <w:rPr>
          <w:i/>
          <w:sz w:val="21"/>
          <w:szCs w:val="21"/>
        </w:rPr>
        <w:t xml:space="preserve"> content needs to be filled out based on the details of each specific appeal. Be sure to review and understand specific health plan requirements for your patient. It is also important to understand each plan's submission process (online vs fax) for appeals.</w:t>
      </w:r>
    </w:p>
    <w:p w14:paraId="1AD9F697" w14:textId="77777777" w:rsidR="009D5568" w:rsidRPr="0061025C" w:rsidRDefault="00BB4879" w:rsidP="00CB3F4E">
      <w:pPr>
        <w:pStyle w:val="BodyText"/>
        <w:spacing w:before="100"/>
        <w:ind w:left="101"/>
        <w:rPr>
          <w:sz w:val="21"/>
          <w:szCs w:val="21"/>
        </w:rPr>
      </w:pPr>
      <w:bookmarkStart w:id="2" w:name="_Hlk140477247"/>
      <w:bookmarkEnd w:id="1"/>
      <w:r w:rsidRPr="0061025C">
        <w:rPr>
          <w:color w:val="FF3399"/>
          <w:sz w:val="21"/>
          <w:szCs w:val="21"/>
        </w:rPr>
        <w:t>[Date]</w:t>
      </w:r>
    </w:p>
    <w:p w14:paraId="36D5C477" w14:textId="36B3F502" w:rsidR="009D5568" w:rsidRPr="0061025C" w:rsidRDefault="00BB4879" w:rsidP="00CB3F4E">
      <w:pPr>
        <w:pStyle w:val="BodyText"/>
        <w:tabs>
          <w:tab w:val="left" w:pos="7943"/>
        </w:tabs>
        <w:spacing w:before="100"/>
        <w:ind w:left="101"/>
        <w:rPr>
          <w:sz w:val="21"/>
          <w:szCs w:val="21"/>
        </w:rPr>
      </w:pPr>
      <w:r w:rsidRPr="0061025C">
        <w:rPr>
          <w:color w:val="FF3399"/>
          <w:sz w:val="21"/>
          <w:szCs w:val="21"/>
        </w:rPr>
        <w:t>[Health</w:t>
      </w:r>
      <w:r w:rsidRPr="0061025C">
        <w:rPr>
          <w:color w:val="FF3399"/>
          <w:spacing w:val="-3"/>
          <w:sz w:val="21"/>
          <w:szCs w:val="21"/>
        </w:rPr>
        <w:t xml:space="preserve"> </w:t>
      </w:r>
      <w:r w:rsidRPr="0061025C">
        <w:rPr>
          <w:color w:val="FF3399"/>
          <w:sz w:val="21"/>
          <w:szCs w:val="21"/>
        </w:rPr>
        <w:t>plan</w:t>
      </w:r>
      <w:r w:rsidRPr="0061025C">
        <w:rPr>
          <w:color w:val="FF3399"/>
          <w:spacing w:val="-2"/>
          <w:sz w:val="21"/>
          <w:szCs w:val="21"/>
        </w:rPr>
        <w:t xml:space="preserve"> </w:t>
      </w:r>
      <w:r w:rsidRPr="0061025C">
        <w:rPr>
          <w:color w:val="FF3399"/>
          <w:sz w:val="21"/>
          <w:szCs w:val="21"/>
        </w:rPr>
        <w:t>name]</w:t>
      </w:r>
      <w:r w:rsidRPr="0061025C">
        <w:rPr>
          <w:color w:val="FF3399"/>
          <w:sz w:val="21"/>
          <w:szCs w:val="21"/>
        </w:rPr>
        <w:tab/>
        <w:t>[Patient’s</w:t>
      </w:r>
      <w:r w:rsidRPr="0061025C">
        <w:rPr>
          <w:color w:val="FF3399"/>
          <w:spacing w:val="-7"/>
          <w:sz w:val="21"/>
          <w:szCs w:val="21"/>
        </w:rPr>
        <w:t xml:space="preserve"> </w:t>
      </w:r>
      <w:r w:rsidRPr="0061025C">
        <w:rPr>
          <w:color w:val="FF3399"/>
          <w:sz w:val="21"/>
          <w:szCs w:val="21"/>
        </w:rPr>
        <w:t>Name]</w:t>
      </w:r>
    </w:p>
    <w:p w14:paraId="1D416C28" w14:textId="254AE7BC" w:rsidR="009D5568" w:rsidRPr="0061025C" w:rsidRDefault="00BB4879" w:rsidP="002C4A47">
      <w:pPr>
        <w:pStyle w:val="BodyText"/>
        <w:tabs>
          <w:tab w:val="left" w:pos="6297"/>
          <w:tab w:val="left" w:pos="8153"/>
        </w:tabs>
        <w:spacing w:line="384" w:lineRule="auto"/>
        <w:ind w:left="101" w:right="136"/>
        <w:rPr>
          <w:sz w:val="21"/>
          <w:szCs w:val="21"/>
        </w:rPr>
      </w:pPr>
      <w:r w:rsidRPr="0061025C">
        <w:rPr>
          <w:sz w:val="21"/>
          <w:szCs w:val="21"/>
        </w:rPr>
        <w:t>ATTN</w:t>
      </w:r>
      <w:r w:rsidRPr="0061025C">
        <w:rPr>
          <w:color w:val="FF3399"/>
          <w:sz w:val="21"/>
          <w:szCs w:val="21"/>
        </w:rPr>
        <w:t>:</w:t>
      </w:r>
      <w:r w:rsidRPr="0061025C">
        <w:rPr>
          <w:color w:val="FF3399"/>
          <w:spacing w:val="-3"/>
          <w:sz w:val="21"/>
          <w:szCs w:val="21"/>
        </w:rPr>
        <w:t xml:space="preserve"> </w:t>
      </w:r>
      <w:r w:rsidRPr="0061025C">
        <w:rPr>
          <w:color w:val="FF3399"/>
          <w:sz w:val="21"/>
          <w:szCs w:val="21"/>
        </w:rPr>
        <w:t>[Department]</w:t>
      </w:r>
      <w:proofErr w:type="gramStart"/>
      <w:r w:rsidRPr="0061025C">
        <w:rPr>
          <w:color w:val="FF3399"/>
          <w:sz w:val="21"/>
          <w:szCs w:val="21"/>
        </w:rPr>
        <w:tab/>
      </w:r>
      <w:r w:rsidR="007B1DEB">
        <w:rPr>
          <w:color w:val="FF3399"/>
          <w:sz w:val="21"/>
          <w:szCs w:val="21"/>
        </w:rPr>
        <w:t xml:space="preserve">  </w:t>
      </w:r>
      <w:r w:rsidRPr="0061025C">
        <w:rPr>
          <w:color w:val="FF3399"/>
          <w:sz w:val="21"/>
          <w:szCs w:val="21"/>
        </w:rPr>
        <w:t>[</w:t>
      </w:r>
      <w:proofErr w:type="gramEnd"/>
      <w:r w:rsidRPr="0061025C">
        <w:rPr>
          <w:color w:val="FF3399"/>
          <w:sz w:val="21"/>
          <w:szCs w:val="21"/>
        </w:rPr>
        <w:t>Patient’s plan-specific member ID] [Medical/Pharmacy Director Name</w:t>
      </w:r>
      <w:r w:rsidRPr="0061025C">
        <w:rPr>
          <w:color w:val="FF3399"/>
          <w:spacing w:val="-10"/>
          <w:sz w:val="21"/>
          <w:szCs w:val="21"/>
        </w:rPr>
        <w:t xml:space="preserve"> </w:t>
      </w:r>
      <w:r w:rsidRPr="0061025C">
        <w:rPr>
          <w:color w:val="FF3399"/>
          <w:sz w:val="21"/>
          <w:szCs w:val="21"/>
        </w:rPr>
        <w:t>(if</w:t>
      </w:r>
      <w:r w:rsidRPr="0061025C">
        <w:rPr>
          <w:color w:val="FF3399"/>
          <w:spacing w:val="-5"/>
          <w:sz w:val="21"/>
          <w:szCs w:val="21"/>
        </w:rPr>
        <w:t xml:space="preserve"> </w:t>
      </w:r>
      <w:r w:rsidRPr="0061025C">
        <w:rPr>
          <w:color w:val="FF3399"/>
          <w:sz w:val="21"/>
          <w:szCs w:val="21"/>
        </w:rPr>
        <w:t>available)]</w:t>
      </w:r>
      <w:r w:rsidRPr="0061025C">
        <w:rPr>
          <w:color w:val="FF3399"/>
          <w:sz w:val="21"/>
          <w:szCs w:val="21"/>
        </w:rPr>
        <w:tab/>
      </w:r>
      <w:r w:rsidR="00C42CE3" w:rsidRPr="0061025C">
        <w:rPr>
          <w:color w:val="FF3399"/>
          <w:sz w:val="21"/>
          <w:szCs w:val="21"/>
        </w:rPr>
        <w:t xml:space="preserve">                   </w:t>
      </w:r>
      <w:r w:rsidR="007B1DEB">
        <w:rPr>
          <w:color w:val="FF3399"/>
          <w:sz w:val="21"/>
          <w:szCs w:val="21"/>
        </w:rPr>
        <w:t xml:space="preserve">  </w:t>
      </w:r>
      <w:proofErr w:type="gramStart"/>
      <w:r w:rsidR="007B1DEB">
        <w:rPr>
          <w:color w:val="FF3399"/>
          <w:sz w:val="21"/>
          <w:szCs w:val="21"/>
        </w:rPr>
        <w:t xml:space="preserve"> </w:t>
      </w:r>
      <w:r w:rsidR="00004217">
        <w:rPr>
          <w:color w:val="FF3399"/>
          <w:sz w:val="21"/>
          <w:szCs w:val="21"/>
        </w:rPr>
        <w:t xml:space="preserve"> </w:t>
      </w:r>
      <w:r w:rsidR="009565C4">
        <w:rPr>
          <w:color w:val="FF3399"/>
          <w:sz w:val="21"/>
          <w:szCs w:val="21"/>
        </w:rPr>
        <w:t xml:space="preserve"> </w:t>
      </w:r>
      <w:r w:rsidRPr="0061025C">
        <w:rPr>
          <w:color w:val="FF3399"/>
          <w:sz w:val="21"/>
          <w:szCs w:val="21"/>
        </w:rPr>
        <w:t>[</w:t>
      </w:r>
      <w:proofErr w:type="gramEnd"/>
      <w:r w:rsidR="00C42CE3" w:rsidRPr="0061025C">
        <w:rPr>
          <w:color w:val="FF3399"/>
          <w:sz w:val="21"/>
          <w:szCs w:val="21"/>
        </w:rPr>
        <w:t>Patient’s date</w:t>
      </w:r>
      <w:r w:rsidRPr="0061025C">
        <w:rPr>
          <w:color w:val="FF3399"/>
          <w:sz w:val="21"/>
          <w:szCs w:val="21"/>
        </w:rPr>
        <w:t xml:space="preserve"> of</w:t>
      </w:r>
      <w:r w:rsidRPr="0061025C">
        <w:rPr>
          <w:color w:val="FF3399"/>
          <w:spacing w:val="-8"/>
          <w:sz w:val="21"/>
          <w:szCs w:val="21"/>
        </w:rPr>
        <w:t xml:space="preserve"> </w:t>
      </w:r>
      <w:r w:rsidRPr="0061025C">
        <w:rPr>
          <w:color w:val="FF3399"/>
          <w:sz w:val="21"/>
          <w:szCs w:val="21"/>
        </w:rPr>
        <w:t>birth]</w:t>
      </w:r>
      <w:r w:rsidR="006A3B58">
        <w:rPr>
          <w:color w:val="FF3399"/>
          <w:sz w:val="21"/>
          <w:szCs w:val="21"/>
        </w:rPr>
        <w:t xml:space="preserve"> </w:t>
      </w:r>
      <w:r w:rsidRPr="0061025C">
        <w:rPr>
          <w:color w:val="FF3399"/>
          <w:sz w:val="21"/>
          <w:szCs w:val="21"/>
        </w:rPr>
        <w:t>[Health</w:t>
      </w:r>
      <w:r w:rsidRPr="0061025C">
        <w:rPr>
          <w:color w:val="FF3399"/>
          <w:spacing w:val="-4"/>
          <w:sz w:val="21"/>
          <w:szCs w:val="21"/>
        </w:rPr>
        <w:t xml:space="preserve"> </w:t>
      </w:r>
      <w:r w:rsidRPr="0061025C">
        <w:rPr>
          <w:color w:val="FF3399"/>
          <w:sz w:val="21"/>
          <w:szCs w:val="21"/>
        </w:rPr>
        <w:t>plan</w:t>
      </w:r>
      <w:r w:rsidRPr="0061025C">
        <w:rPr>
          <w:color w:val="FF3399"/>
          <w:spacing w:val="-3"/>
          <w:sz w:val="21"/>
          <w:szCs w:val="21"/>
        </w:rPr>
        <w:t xml:space="preserve"> </w:t>
      </w:r>
      <w:proofErr w:type="gramStart"/>
      <w:r w:rsidRPr="0061025C">
        <w:rPr>
          <w:color w:val="FF3399"/>
          <w:sz w:val="21"/>
          <w:szCs w:val="21"/>
        </w:rPr>
        <w:t>address]</w:t>
      </w:r>
      <w:r w:rsidR="002C4A47">
        <w:rPr>
          <w:color w:val="FF3399"/>
          <w:sz w:val="21"/>
          <w:szCs w:val="21"/>
        </w:rPr>
        <w:t xml:space="preserve">   </w:t>
      </w:r>
      <w:proofErr w:type="gramEnd"/>
      <w:r w:rsidR="002C4A47">
        <w:rPr>
          <w:color w:val="FF3399"/>
          <w:sz w:val="21"/>
          <w:szCs w:val="21"/>
        </w:rPr>
        <w:t xml:space="preserve">                                                                                                                            </w:t>
      </w:r>
      <w:r w:rsidR="009565C4">
        <w:rPr>
          <w:color w:val="FF3399"/>
          <w:sz w:val="21"/>
          <w:szCs w:val="21"/>
        </w:rPr>
        <w:t xml:space="preserve">  </w:t>
      </w:r>
      <w:proofErr w:type="gramStart"/>
      <w:r w:rsidR="002C4A47">
        <w:rPr>
          <w:color w:val="FF3399"/>
          <w:sz w:val="21"/>
          <w:szCs w:val="21"/>
        </w:rPr>
        <w:t xml:space="preserve">   </w:t>
      </w:r>
      <w:r w:rsidRPr="0061025C">
        <w:rPr>
          <w:color w:val="FF3399"/>
          <w:sz w:val="21"/>
          <w:szCs w:val="21"/>
        </w:rPr>
        <w:t>[</w:t>
      </w:r>
      <w:proofErr w:type="gramEnd"/>
      <w:r w:rsidRPr="0061025C">
        <w:rPr>
          <w:color w:val="FF3399"/>
          <w:sz w:val="21"/>
          <w:szCs w:val="21"/>
        </w:rPr>
        <w:t>Case</w:t>
      </w:r>
      <w:r w:rsidRPr="0061025C">
        <w:rPr>
          <w:color w:val="FF3399"/>
          <w:spacing w:val="-6"/>
          <w:sz w:val="21"/>
          <w:szCs w:val="21"/>
        </w:rPr>
        <w:t xml:space="preserve"> </w:t>
      </w:r>
      <w:r w:rsidRPr="0061025C">
        <w:rPr>
          <w:color w:val="FF3399"/>
          <w:sz w:val="21"/>
          <w:szCs w:val="21"/>
        </w:rPr>
        <w:t>number]</w:t>
      </w:r>
    </w:p>
    <w:p w14:paraId="71DEF054" w14:textId="788BD32F" w:rsidR="009D5568" w:rsidRDefault="00BB4879" w:rsidP="007B1DEB">
      <w:pPr>
        <w:pStyle w:val="BodyText"/>
        <w:tabs>
          <w:tab w:val="left" w:pos="7883"/>
        </w:tabs>
        <w:ind w:left="101"/>
        <w:rPr>
          <w:color w:val="FF3399"/>
          <w:sz w:val="21"/>
          <w:szCs w:val="21"/>
        </w:rPr>
      </w:pPr>
      <w:r w:rsidRPr="0061025C">
        <w:rPr>
          <w:color w:val="FF3399"/>
          <w:sz w:val="21"/>
          <w:szCs w:val="21"/>
        </w:rPr>
        <w:t>[City, State, ZIP</w:t>
      </w:r>
      <w:r w:rsidRPr="0061025C">
        <w:rPr>
          <w:color w:val="FF3399"/>
          <w:spacing w:val="-4"/>
          <w:sz w:val="21"/>
          <w:szCs w:val="21"/>
        </w:rPr>
        <w:t xml:space="preserve"> </w:t>
      </w:r>
      <w:r w:rsidR="00637F69" w:rsidRPr="0061025C">
        <w:rPr>
          <w:color w:val="FF3399"/>
          <w:sz w:val="21"/>
          <w:szCs w:val="21"/>
        </w:rPr>
        <w:t>C</w:t>
      </w:r>
      <w:r w:rsidRPr="0061025C">
        <w:rPr>
          <w:color w:val="FF3399"/>
          <w:sz w:val="21"/>
          <w:szCs w:val="21"/>
        </w:rPr>
        <w:t>ode]</w:t>
      </w:r>
      <w:r w:rsidRPr="0061025C">
        <w:rPr>
          <w:color w:val="FF3399"/>
          <w:sz w:val="21"/>
          <w:szCs w:val="21"/>
        </w:rPr>
        <w:tab/>
      </w:r>
      <w:r w:rsidR="009565C4">
        <w:rPr>
          <w:color w:val="FF3399"/>
          <w:sz w:val="21"/>
          <w:szCs w:val="21"/>
        </w:rPr>
        <w:t xml:space="preserve">  </w:t>
      </w:r>
      <w:r w:rsidRPr="0061025C">
        <w:rPr>
          <w:color w:val="FF3399"/>
          <w:sz w:val="21"/>
          <w:szCs w:val="21"/>
        </w:rPr>
        <w:t>[Dates of</w:t>
      </w:r>
      <w:r w:rsidRPr="0061025C">
        <w:rPr>
          <w:color w:val="FF3399"/>
          <w:spacing w:val="-11"/>
          <w:sz w:val="21"/>
          <w:szCs w:val="21"/>
        </w:rPr>
        <w:t xml:space="preserve"> </w:t>
      </w:r>
      <w:r w:rsidRPr="0061025C">
        <w:rPr>
          <w:color w:val="FF3399"/>
          <w:sz w:val="21"/>
          <w:szCs w:val="21"/>
        </w:rPr>
        <w:t>service]</w:t>
      </w:r>
    </w:p>
    <w:p w14:paraId="16B1AFEE" w14:textId="77777777" w:rsidR="007B1DEB" w:rsidRDefault="007B1DEB" w:rsidP="007B1DEB">
      <w:pPr>
        <w:pStyle w:val="BodyText"/>
        <w:tabs>
          <w:tab w:val="left" w:pos="7883"/>
        </w:tabs>
        <w:ind w:left="101"/>
        <w:rPr>
          <w:sz w:val="21"/>
          <w:szCs w:val="21"/>
        </w:rPr>
      </w:pPr>
    </w:p>
    <w:p w14:paraId="78F0107C" w14:textId="2E799B87" w:rsidR="007B1DEB" w:rsidRPr="0061025C" w:rsidRDefault="007B1DEB" w:rsidP="007B1DEB">
      <w:pPr>
        <w:pStyle w:val="BodyText"/>
        <w:tabs>
          <w:tab w:val="left" w:pos="7883"/>
        </w:tabs>
        <w:ind w:left="101"/>
        <w:rPr>
          <w:sz w:val="21"/>
          <w:szCs w:val="21"/>
        </w:rPr>
      </w:pPr>
      <w:r w:rsidRPr="007B1DEB">
        <w:rPr>
          <w:sz w:val="21"/>
          <w:szCs w:val="21"/>
        </w:rPr>
        <w:t>Re: Letter of Appeal for LEQVIO</w:t>
      </w:r>
      <w:r>
        <w:rPr>
          <w:sz w:val="21"/>
          <w:szCs w:val="21"/>
        </w:rPr>
        <w:t xml:space="preserve">® </w:t>
      </w:r>
      <w:r w:rsidRPr="007B1DEB">
        <w:rPr>
          <w:sz w:val="21"/>
          <w:szCs w:val="21"/>
        </w:rPr>
        <w:t>(</w:t>
      </w:r>
      <w:proofErr w:type="spellStart"/>
      <w:r w:rsidRPr="007B1DEB">
        <w:rPr>
          <w:sz w:val="21"/>
          <w:szCs w:val="21"/>
        </w:rPr>
        <w:t>inclisiran</w:t>
      </w:r>
      <w:proofErr w:type="spellEnd"/>
      <w:r w:rsidRPr="007B1DEB">
        <w:rPr>
          <w:sz w:val="21"/>
          <w:szCs w:val="21"/>
        </w:rPr>
        <w:t>)</w:t>
      </w:r>
    </w:p>
    <w:p w14:paraId="3EA9E64B" w14:textId="77777777" w:rsidR="007B1DEB" w:rsidRDefault="007B1DEB" w:rsidP="007B1DEB">
      <w:pPr>
        <w:pStyle w:val="BodyText"/>
        <w:ind w:left="101"/>
        <w:rPr>
          <w:sz w:val="21"/>
          <w:szCs w:val="21"/>
        </w:rPr>
      </w:pPr>
    </w:p>
    <w:p w14:paraId="10B6B064" w14:textId="39B70E3C" w:rsidR="009D5568" w:rsidRPr="0061025C" w:rsidRDefault="00BB4879" w:rsidP="007B1DEB">
      <w:pPr>
        <w:pStyle w:val="BodyText"/>
        <w:ind w:left="101"/>
        <w:rPr>
          <w:sz w:val="21"/>
          <w:szCs w:val="21"/>
        </w:rPr>
      </w:pPr>
      <w:r w:rsidRPr="0061025C">
        <w:rPr>
          <w:sz w:val="21"/>
          <w:szCs w:val="21"/>
        </w:rPr>
        <w:t xml:space="preserve">Dear </w:t>
      </w:r>
      <w:r w:rsidRPr="0061025C">
        <w:rPr>
          <w:color w:val="FF3399"/>
          <w:sz w:val="21"/>
          <w:szCs w:val="21"/>
        </w:rPr>
        <w:t>[Medical/Pharmacy Director Name]</w:t>
      </w:r>
      <w:r w:rsidRPr="0061025C">
        <w:rPr>
          <w:sz w:val="21"/>
          <w:szCs w:val="21"/>
        </w:rPr>
        <w:t>,</w:t>
      </w:r>
    </w:p>
    <w:p w14:paraId="4B99B921" w14:textId="1857A9F4" w:rsidR="009D5568" w:rsidRPr="0061025C" w:rsidRDefault="00BB4879">
      <w:pPr>
        <w:pStyle w:val="BodyText"/>
        <w:spacing w:before="182" w:line="259" w:lineRule="auto"/>
        <w:ind w:right="392"/>
        <w:rPr>
          <w:sz w:val="21"/>
          <w:szCs w:val="21"/>
        </w:rPr>
      </w:pPr>
      <w:r w:rsidRPr="0061025C">
        <w:rPr>
          <w:sz w:val="21"/>
          <w:szCs w:val="21"/>
        </w:rPr>
        <w:t xml:space="preserve">We have read and acknowledge your policy for the responsible management of drugs in the </w:t>
      </w:r>
      <w:r w:rsidR="00FF25F7" w:rsidRPr="00FF25F7">
        <w:rPr>
          <w:color w:val="FF3399"/>
          <w:sz w:val="21"/>
          <w:szCs w:val="21"/>
        </w:rPr>
        <w:t>[</w:t>
      </w:r>
      <w:r w:rsidR="00FF25F7" w:rsidRPr="001D2E38">
        <w:rPr>
          <w:color w:val="0070C0"/>
          <w:sz w:val="21"/>
          <w:szCs w:val="21"/>
        </w:rPr>
        <w:t xml:space="preserve">[FOR ADULT PATIENTS AGED 18+] </w:t>
      </w:r>
      <w:r w:rsidR="00FF25F7" w:rsidRPr="00FF25F7">
        <w:rPr>
          <w:color w:val="FF3399"/>
          <w:sz w:val="21"/>
          <w:szCs w:val="21"/>
        </w:rPr>
        <w:t>hypercholesterolemia or familial hypercholesterolemia (</w:t>
      </w:r>
      <w:proofErr w:type="spellStart"/>
      <w:r w:rsidR="00FF25F7" w:rsidRPr="00FF25F7">
        <w:rPr>
          <w:color w:val="FF3399"/>
          <w:sz w:val="21"/>
          <w:szCs w:val="21"/>
        </w:rPr>
        <w:t>HeFH</w:t>
      </w:r>
      <w:proofErr w:type="spellEnd"/>
      <w:r w:rsidR="00FF25F7" w:rsidRPr="00FF25F7">
        <w:rPr>
          <w:color w:val="FF3399"/>
          <w:sz w:val="21"/>
          <w:szCs w:val="21"/>
        </w:rPr>
        <w:t xml:space="preserve">) / </w:t>
      </w:r>
      <w:r w:rsidR="00FF25F7" w:rsidRPr="001D2E38">
        <w:rPr>
          <w:color w:val="0070C0"/>
          <w:sz w:val="21"/>
          <w:szCs w:val="21"/>
        </w:rPr>
        <w:t>[FOR PEDIATRIC PATIENTS AGED 12-17]</w:t>
      </w:r>
      <w:r w:rsidR="00FF25F7" w:rsidRPr="00FF25F7">
        <w:rPr>
          <w:color w:val="FF3399"/>
          <w:sz w:val="21"/>
          <w:szCs w:val="21"/>
        </w:rPr>
        <w:t xml:space="preserve"> familial hypercholesterolemia (</w:t>
      </w:r>
      <w:proofErr w:type="spellStart"/>
      <w:r w:rsidR="00FF25F7" w:rsidRPr="00FF25F7">
        <w:rPr>
          <w:color w:val="FF3399"/>
          <w:sz w:val="21"/>
          <w:szCs w:val="21"/>
        </w:rPr>
        <w:t>HeFH</w:t>
      </w:r>
      <w:proofErr w:type="spellEnd"/>
      <w:r w:rsidR="00FF25F7" w:rsidRPr="00FF25F7">
        <w:rPr>
          <w:color w:val="FF3399"/>
          <w:sz w:val="21"/>
          <w:szCs w:val="21"/>
        </w:rPr>
        <w:t>/</w:t>
      </w:r>
      <w:proofErr w:type="spellStart"/>
      <w:r w:rsidR="00FF25F7" w:rsidRPr="00FF25F7">
        <w:rPr>
          <w:color w:val="FF3399"/>
          <w:sz w:val="21"/>
          <w:szCs w:val="21"/>
        </w:rPr>
        <w:t>HoFH</w:t>
      </w:r>
      <w:proofErr w:type="spellEnd"/>
      <w:r w:rsidR="009565C4" w:rsidRPr="00FF25F7">
        <w:rPr>
          <w:color w:val="FF3399"/>
          <w:sz w:val="21"/>
          <w:szCs w:val="21"/>
        </w:rPr>
        <w:t>)]</w:t>
      </w:r>
      <w:r w:rsidR="009565C4" w:rsidRPr="0061025C">
        <w:rPr>
          <w:sz w:val="21"/>
          <w:szCs w:val="21"/>
        </w:rPr>
        <w:t xml:space="preserve"> categories</w:t>
      </w:r>
      <w:r w:rsidRPr="0061025C">
        <w:rPr>
          <w:sz w:val="21"/>
          <w:szCs w:val="21"/>
        </w:rPr>
        <w:t xml:space="preserve">. We are writing to request that you reconsider your denial of coverage for LEQVIO®. This letter is being submitted on behalf of </w:t>
      </w:r>
      <w:r w:rsidRPr="0061025C">
        <w:rPr>
          <w:color w:val="FF3399"/>
          <w:sz w:val="21"/>
          <w:szCs w:val="21"/>
        </w:rPr>
        <w:t xml:space="preserve">[Patient’s name] </w:t>
      </w:r>
      <w:r w:rsidRPr="0061025C">
        <w:rPr>
          <w:sz w:val="21"/>
          <w:szCs w:val="21"/>
        </w:rPr>
        <w:t xml:space="preserve">for </w:t>
      </w:r>
      <w:r w:rsidRPr="0061025C">
        <w:rPr>
          <w:color w:val="FF3399"/>
          <w:sz w:val="21"/>
          <w:szCs w:val="21"/>
        </w:rPr>
        <w:t>[Product indication]</w:t>
      </w:r>
      <w:r w:rsidRPr="0061025C">
        <w:rPr>
          <w:sz w:val="21"/>
          <w:szCs w:val="21"/>
        </w:rPr>
        <w:t>, associated with</w:t>
      </w:r>
      <w:r w:rsidR="00B54D71" w:rsidRPr="0061025C">
        <w:rPr>
          <w:sz w:val="21"/>
          <w:szCs w:val="21"/>
        </w:rPr>
        <w:t xml:space="preserve"> </w:t>
      </w:r>
      <w:r w:rsidRPr="0061025C">
        <w:rPr>
          <w:sz w:val="21"/>
          <w:szCs w:val="21"/>
        </w:rPr>
        <w:t xml:space="preserve">diagnosis </w:t>
      </w:r>
      <w:r w:rsidR="00B54D71" w:rsidRPr="0061025C">
        <w:rPr>
          <w:sz w:val="21"/>
          <w:szCs w:val="21"/>
        </w:rPr>
        <w:t xml:space="preserve">code(s) </w:t>
      </w:r>
      <w:r w:rsidRPr="0061025C">
        <w:rPr>
          <w:color w:val="FF3399"/>
          <w:sz w:val="21"/>
          <w:szCs w:val="21"/>
        </w:rPr>
        <w:t>[</w:t>
      </w:r>
      <w:r w:rsidR="00B54D71" w:rsidRPr="0061025C">
        <w:rPr>
          <w:color w:val="FF3399"/>
          <w:sz w:val="21"/>
          <w:szCs w:val="21"/>
        </w:rPr>
        <w:t xml:space="preserve">insert </w:t>
      </w:r>
      <w:r w:rsidRPr="0061025C">
        <w:rPr>
          <w:color w:val="FF3399"/>
          <w:sz w:val="21"/>
          <w:szCs w:val="21"/>
        </w:rPr>
        <w:t>ICD-10 cod</w:t>
      </w:r>
      <w:r w:rsidR="00B54D71" w:rsidRPr="0061025C">
        <w:rPr>
          <w:color w:val="FF3399"/>
          <w:sz w:val="21"/>
          <w:szCs w:val="21"/>
        </w:rPr>
        <w:t>e(s)</w:t>
      </w:r>
      <w:r w:rsidRPr="0061025C">
        <w:rPr>
          <w:color w:val="FF3399"/>
          <w:sz w:val="21"/>
          <w:szCs w:val="21"/>
        </w:rPr>
        <w:t>]</w:t>
      </w:r>
      <w:r w:rsidRPr="0061025C">
        <w:rPr>
          <w:sz w:val="21"/>
          <w:szCs w:val="21"/>
        </w:rPr>
        <w:t>.</w:t>
      </w:r>
    </w:p>
    <w:p w14:paraId="636007CB" w14:textId="77777777" w:rsidR="009D5568" w:rsidRPr="0061025C" w:rsidRDefault="00BB4879">
      <w:pPr>
        <w:pStyle w:val="BodyText"/>
        <w:spacing w:before="160" w:line="259" w:lineRule="auto"/>
        <w:ind w:right="327"/>
        <w:jc w:val="both"/>
        <w:rPr>
          <w:sz w:val="21"/>
          <w:szCs w:val="21"/>
        </w:rPr>
      </w:pPr>
      <w:r w:rsidRPr="0061025C">
        <w:rPr>
          <w:sz w:val="21"/>
          <w:szCs w:val="21"/>
        </w:rPr>
        <w:t xml:space="preserve">The reason given for the denial was </w:t>
      </w:r>
      <w:r w:rsidRPr="0061025C">
        <w:rPr>
          <w:color w:val="FF3399"/>
          <w:sz w:val="21"/>
          <w:szCs w:val="21"/>
        </w:rPr>
        <w:t>[state reason from health plan’s letter]</w:t>
      </w:r>
      <w:r w:rsidRPr="0061025C">
        <w:rPr>
          <w:sz w:val="21"/>
          <w:szCs w:val="21"/>
        </w:rPr>
        <w:t xml:space="preserve">. A copy of the most recent denial letter is included along with medical notes in response to the denial. After reviewing the denial letter, we continue to feel that LEQVIO 284 mg/1.5 mL is the appropriate therapy for </w:t>
      </w:r>
      <w:r w:rsidRPr="0061025C">
        <w:rPr>
          <w:color w:val="FF3399"/>
          <w:sz w:val="21"/>
          <w:szCs w:val="21"/>
        </w:rPr>
        <w:t>[Patient’s name]</w:t>
      </w:r>
      <w:r w:rsidRPr="0061025C">
        <w:rPr>
          <w:sz w:val="21"/>
          <w:szCs w:val="21"/>
        </w:rPr>
        <w:t>. The relevant clinical history is summarized below.</w:t>
      </w:r>
    </w:p>
    <w:p w14:paraId="7617EAA8" w14:textId="205B8E89" w:rsidR="009D5568" w:rsidRPr="0061025C" w:rsidRDefault="00BB4879">
      <w:pPr>
        <w:pStyle w:val="BodyText"/>
        <w:spacing w:before="160" w:line="259" w:lineRule="auto"/>
        <w:ind w:right="229"/>
        <w:rPr>
          <w:sz w:val="21"/>
          <w:szCs w:val="21"/>
        </w:rPr>
      </w:pPr>
      <w:r w:rsidRPr="0061025C">
        <w:rPr>
          <w:color w:val="FF3399"/>
          <w:sz w:val="21"/>
          <w:szCs w:val="21"/>
        </w:rPr>
        <w:t xml:space="preserve">[This plan currently lists [required step edit therapies] to be attempted prior to treatment with LEQVIO. </w:t>
      </w:r>
      <w:proofErr w:type="gramStart"/>
      <w:r w:rsidR="002A1337" w:rsidRPr="0061025C">
        <w:rPr>
          <w:color w:val="FF3399"/>
          <w:sz w:val="21"/>
          <w:szCs w:val="21"/>
        </w:rPr>
        <w:t>These step</w:t>
      </w:r>
      <w:proofErr w:type="gramEnd"/>
      <w:r w:rsidRPr="0061025C">
        <w:rPr>
          <w:color w:val="FF3399"/>
          <w:sz w:val="21"/>
          <w:szCs w:val="21"/>
        </w:rPr>
        <w:t xml:space="preserve"> edit therapies are not viable for thi</w:t>
      </w:r>
      <w:r w:rsidRPr="00992957">
        <w:rPr>
          <w:color w:val="FF3399"/>
          <w:sz w:val="21"/>
          <w:szCs w:val="21"/>
        </w:rPr>
        <w:t xml:space="preserve">s </w:t>
      </w:r>
      <w:r w:rsidRPr="0061025C">
        <w:rPr>
          <w:color w:val="FF3399"/>
          <w:sz w:val="21"/>
          <w:szCs w:val="21"/>
        </w:rPr>
        <w:t>patient. We are requesting that the step edit therapy requirement be bypassed.]</w:t>
      </w:r>
    </w:p>
    <w:bookmarkEnd w:id="2"/>
    <w:p w14:paraId="4327E6E3" w14:textId="55DD6C3F" w:rsidR="00233414" w:rsidRDefault="00BB4879" w:rsidP="00233414">
      <w:pPr>
        <w:pStyle w:val="BodyText"/>
        <w:spacing w:before="161" w:line="259" w:lineRule="auto"/>
        <w:ind w:right="357"/>
        <w:jc w:val="both"/>
        <w:rPr>
          <w:color w:val="006FC0"/>
          <w:sz w:val="21"/>
          <w:szCs w:val="21"/>
        </w:rPr>
      </w:pPr>
      <w:r w:rsidRPr="0061025C">
        <w:rPr>
          <w:color w:val="006FC0"/>
          <w:sz w:val="21"/>
          <w:szCs w:val="21"/>
        </w:rPr>
        <w:t>Document</w:t>
      </w:r>
      <w:r w:rsidRPr="0061025C">
        <w:rPr>
          <w:color w:val="006FC0"/>
          <w:spacing w:val="-3"/>
          <w:sz w:val="21"/>
          <w:szCs w:val="21"/>
        </w:rPr>
        <w:t xml:space="preserve"> </w:t>
      </w:r>
      <w:r w:rsidRPr="0061025C">
        <w:rPr>
          <w:color w:val="006FC0"/>
          <w:sz w:val="21"/>
          <w:szCs w:val="21"/>
        </w:rPr>
        <w:t>the</w:t>
      </w:r>
      <w:r w:rsidRPr="0061025C">
        <w:rPr>
          <w:color w:val="006FC0"/>
          <w:spacing w:val="-4"/>
          <w:sz w:val="21"/>
          <w:szCs w:val="21"/>
        </w:rPr>
        <w:t xml:space="preserve"> </w:t>
      </w:r>
      <w:r w:rsidRPr="0061025C">
        <w:rPr>
          <w:color w:val="006FC0"/>
          <w:sz w:val="21"/>
          <w:szCs w:val="21"/>
        </w:rPr>
        <w:t>patient’s</w:t>
      </w:r>
      <w:r w:rsidRPr="0061025C">
        <w:rPr>
          <w:color w:val="006FC0"/>
          <w:spacing w:val="-4"/>
          <w:sz w:val="21"/>
          <w:szCs w:val="21"/>
        </w:rPr>
        <w:t xml:space="preserve"> </w:t>
      </w:r>
      <w:r w:rsidRPr="0061025C">
        <w:rPr>
          <w:color w:val="006FC0"/>
          <w:sz w:val="21"/>
          <w:szCs w:val="21"/>
        </w:rPr>
        <w:t>history,</w:t>
      </w:r>
      <w:r w:rsidRPr="0061025C">
        <w:rPr>
          <w:color w:val="006FC0"/>
          <w:spacing w:val="-4"/>
          <w:sz w:val="21"/>
          <w:szCs w:val="21"/>
        </w:rPr>
        <w:t xml:space="preserve"> </w:t>
      </w:r>
      <w:r w:rsidRPr="0061025C">
        <w:rPr>
          <w:color w:val="006FC0"/>
          <w:sz w:val="21"/>
          <w:szCs w:val="21"/>
        </w:rPr>
        <w:t>diagnosis,</w:t>
      </w:r>
      <w:r w:rsidRPr="0061025C">
        <w:rPr>
          <w:color w:val="006FC0"/>
          <w:spacing w:val="-3"/>
          <w:sz w:val="21"/>
          <w:szCs w:val="21"/>
        </w:rPr>
        <w:t xml:space="preserve"> </w:t>
      </w:r>
      <w:r w:rsidRPr="0061025C">
        <w:rPr>
          <w:color w:val="006FC0"/>
          <w:sz w:val="21"/>
          <w:szCs w:val="21"/>
        </w:rPr>
        <w:t>current</w:t>
      </w:r>
      <w:r w:rsidRPr="0061025C">
        <w:rPr>
          <w:color w:val="006FC0"/>
          <w:spacing w:val="-2"/>
          <w:sz w:val="21"/>
          <w:szCs w:val="21"/>
        </w:rPr>
        <w:t xml:space="preserve"> </w:t>
      </w:r>
      <w:r w:rsidRPr="0061025C">
        <w:rPr>
          <w:color w:val="006FC0"/>
          <w:sz w:val="21"/>
          <w:szCs w:val="21"/>
        </w:rPr>
        <w:t>condition,</w:t>
      </w:r>
      <w:r w:rsidRPr="0061025C">
        <w:rPr>
          <w:color w:val="006FC0"/>
          <w:spacing w:val="-4"/>
          <w:sz w:val="21"/>
          <w:szCs w:val="21"/>
        </w:rPr>
        <w:t xml:space="preserve"> </w:t>
      </w:r>
      <w:r w:rsidRPr="0061025C">
        <w:rPr>
          <w:color w:val="006FC0"/>
          <w:sz w:val="21"/>
          <w:szCs w:val="21"/>
        </w:rPr>
        <w:t>and</w:t>
      </w:r>
      <w:r w:rsidRPr="0061025C">
        <w:rPr>
          <w:color w:val="006FC0"/>
          <w:spacing w:val="-5"/>
          <w:sz w:val="21"/>
          <w:szCs w:val="21"/>
        </w:rPr>
        <w:t xml:space="preserve"> </w:t>
      </w:r>
      <w:r w:rsidRPr="0061025C">
        <w:rPr>
          <w:color w:val="006FC0"/>
          <w:sz w:val="21"/>
          <w:szCs w:val="21"/>
        </w:rPr>
        <w:t>symptoms;</w:t>
      </w:r>
      <w:r w:rsidRPr="0061025C">
        <w:rPr>
          <w:color w:val="006FC0"/>
          <w:spacing w:val="-3"/>
          <w:sz w:val="21"/>
          <w:szCs w:val="21"/>
        </w:rPr>
        <w:t xml:space="preserve"> </w:t>
      </w:r>
      <w:r w:rsidRPr="0061025C">
        <w:rPr>
          <w:color w:val="006FC0"/>
          <w:sz w:val="21"/>
          <w:szCs w:val="21"/>
        </w:rPr>
        <w:t>for</w:t>
      </w:r>
      <w:r w:rsidRPr="0061025C">
        <w:rPr>
          <w:color w:val="006FC0"/>
          <w:spacing w:val="-5"/>
          <w:sz w:val="21"/>
          <w:szCs w:val="21"/>
        </w:rPr>
        <w:t xml:space="preserve"> </w:t>
      </w:r>
      <w:r w:rsidRPr="0061025C">
        <w:rPr>
          <w:color w:val="006FC0"/>
          <w:sz w:val="21"/>
          <w:szCs w:val="21"/>
        </w:rPr>
        <w:t>example,</w:t>
      </w:r>
      <w:r w:rsidRPr="0061025C">
        <w:rPr>
          <w:color w:val="006FC0"/>
          <w:spacing w:val="-3"/>
          <w:sz w:val="21"/>
          <w:szCs w:val="21"/>
        </w:rPr>
        <w:t xml:space="preserve"> </w:t>
      </w:r>
      <w:r w:rsidRPr="0061025C">
        <w:rPr>
          <w:color w:val="006FC0"/>
          <w:sz w:val="21"/>
          <w:szCs w:val="21"/>
        </w:rPr>
        <w:t>confirm</w:t>
      </w:r>
      <w:r w:rsidRPr="0061025C">
        <w:rPr>
          <w:color w:val="006FC0"/>
          <w:spacing w:val="-5"/>
          <w:sz w:val="21"/>
          <w:szCs w:val="21"/>
        </w:rPr>
        <w:t xml:space="preserve"> </w:t>
      </w:r>
      <w:r w:rsidRPr="0061025C">
        <w:rPr>
          <w:color w:val="006FC0"/>
          <w:sz w:val="21"/>
          <w:szCs w:val="21"/>
        </w:rPr>
        <w:t xml:space="preserve">the </w:t>
      </w:r>
      <w:proofErr w:type="gramStart"/>
      <w:r w:rsidR="00992957" w:rsidRPr="00992957">
        <w:rPr>
          <w:color w:val="006FC0"/>
          <w:sz w:val="21"/>
          <w:szCs w:val="21"/>
        </w:rPr>
        <w:t>patient's</w:t>
      </w:r>
      <w:proofErr w:type="gramEnd"/>
      <w:r w:rsidRPr="0061025C">
        <w:rPr>
          <w:color w:val="006FC0"/>
          <w:sz w:val="21"/>
          <w:szCs w:val="21"/>
        </w:rPr>
        <w:t>:</w:t>
      </w:r>
    </w:p>
    <w:p w14:paraId="3B17A848" w14:textId="3B3D6370" w:rsidR="00233414" w:rsidRPr="00F30E44" w:rsidRDefault="00DF750F">
      <w:pPr>
        <w:pStyle w:val="BodyText"/>
        <w:spacing w:before="161" w:line="259" w:lineRule="auto"/>
        <w:ind w:right="357"/>
        <w:jc w:val="both"/>
        <w:rPr>
          <w:b/>
          <w:bCs/>
          <w:color w:val="006FC0"/>
          <w:sz w:val="21"/>
          <w:szCs w:val="21"/>
        </w:rPr>
      </w:pPr>
      <w:r w:rsidRPr="00DF750F">
        <w:rPr>
          <w:b/>
          <w:bCs/>
          <w:color w:val="006FC0"/>
          <w:sz w:val="21"/>
          <w:szCs w:val="21"/>
        </w:rPr>
        <w:t>For adult patients (aged 18+):</w:t>
      </w:r>
      <w:r w:rsidR="00992957">
        <w:rPr>
          <w:b/>
          <w:bCs/>
          <w:color w:val="006FC0"/>
          <w:sz w:val="21"/>
          <w:szCs w:val="21"/>
        </w:rPr>
        <w:t xml:space="preserve"> </w:t>
      </w:r>
    </w:p>
    <w:p w14:paraId="5BA9B3F0" w14:textId="2D24DD16" w:rsidR="00B43F34" w:rsidRPr="00992957" w:rsidRDefault="00B43F34" w:rsidP="00B43F34">
      <w:pPr>
        <w:pStyle w:val="BodyText"/>
        <w:numPr>
          <w:ilvl w:val="0"/>
          <w:numId w:val="3"/>
        </w:numPr>
        <w:rPr>
          <w:color w:val="FF3399"/>
          <w:sz w:val="21"/>
          <w:szCs w:val="21"/>
        </w:rPr>
      </w:pPr>
      <w:r w:rsidRPr="00B43F34">
        <w:rPr>
          <w:color w:val="006FC0"/>
          <w:sz w:val="21"/>
          <w:szCs w:val="21"/>
        </w:rPr>
        <w:t>Primary diagnosis of hypercholesterolemia or heterozygous familial hypercholesterolemia (</w:t>
      </w:r>
      <w:proofErr w:type="spellStart"/>
      <w:r w:rsidRPr="00B43F34">
        <w:rPr>
          <w:color w:val="006FC0"/>
          <w:sz w:val="21"/>
          <w:szCs w:val="21"/>
        </w:rPr>
        <w:t>HeFH</w:t>
      </w:r>
      <w:proofErr w:type="spellEnd"/>
      <w:r w:rsidRPr="00B43F34">
        <w:rPr>
          <w:color w:val="006FC0"/>
          <w:sz w:val="21"/>
          <w:szCs w:val="21"/>
        </w:rPr>
        <w:t>) (including relevant diagnosis code</w:t>
      </w:r>
      <w:r w:rsidR="00992957" w:rsidRPr="007733D9">
        <w:rPr>
          <w:color w:val="006FC0"/>
          <w:sz w:val="21"/>
          <w:szCs w:val="21"/>
        </w:rPr>
        <w:t>[</w:t>
      </w:r>
      <w:r w:rsidRPr="007733D9">
        <w:rPr>
          <w:color w:val="006FC0"/>
          <w:sz w:val="21"/>
          <w:szCs w:val="21"/>
        </w:rPr>
        <w:t>s</w:t>
      </w:r>
      <w:r w:rsidR="00992957" w:rsidRPr="007733D9">
        <w:rPr>
          <w:color w:val="006FC0"/>
          <w:sz w:val="21"/>
          <w:szCs w:val="21"/>
        </w:rPr>
        <w:t>]</w:t>
      </w:r>
      <w:r w:rsidR="009D3186" w:rsidRPr="007733D9">
        <w:rPr>
          <w:color w:val="006FC0"/>
          <w:sz w:val="21"/>
          <w:szCs w:val="21"/>
        </w:rPr>
        <w:t>)</w:t>
      </w:r>
    </w:p>
    <w:p w14:paraId="1868DB7A" w14:textId="3059919B" w:rsidR="00B43F34" w:rsidRPr="007733D9" w:rsidRDefault="00B43F34" w:rsidP="00B43F34">
      <w:pPr>
        <w:pStyle w:val="BodyText"/>
        <w:numPr>
          <w:ilvl w:val="0"/>
          <w:numId w:val="3"/>
        </w:numPr>
        <w:rPr>
          <w:color w:val="006FC0"/>
          <w:sz w:val="21"/>
          <w:szCs w:val="21"/>
        </w:rPr>
      </w:pPr>
      <w:r w:rsidRPr="00B43F34">
        <w:rPr>
          <w:color w:val="006FC0"/>
          <w:sz w:val="21"/>
          <w:szCs w:val="21"/>
        </w:rPr>
        <w:t>Secondary diagnosis of (including relevant diagnosis code</w:t>
      </w:r>
      <w:r w:rsidR="00992957" w:rsidRPr="007733D9">
        <w:rPr>
          <w:color w:val="006FC0"/>
          <w:sz w:val="21"/>
          <w:szCs w:val="21"/>
        </w:rPr>
        <w:t>[</w:t>
      </w:r>
      <w:r w:rsidRPr="007733D9">
        <w:rPr>
          <w:color w:val="006FC0"/>
          <w:sz w:val="21"/>
          <w:szCs w:val="21"/>
        </w:rPr>
        <w:t>s</w:t>
      </w:r>
      <w:r w:rsidR="00992957" w:rsidRPr="007733D9">
        <w:rPr>
          <w:color w:val="006FC0"/>
          <w:sz w:val="21"/>
          <w:szCs w:val="21"/>
        </w:rPr>
        <w:t>]</w:t>
      </w:r>
      <w:r w:rsidR="008A7008" w:rsidRPr="007733D9">
        <w:rPr>
          <w:color w:val="006FC0"/>
          <w:sz w:val="21"/>
          <w:szCs w:val="21"/>
        </w:rPr>
        <w:t>)</w:t>
      </w:r>
      <w:r w:rsidRPr="007733D9">
        <w:rPr>
          <w:color w:val="006FC0"/>
          <w:sz w:val="21"/>
          <w:szCs w:val="21"/>
        </w:rPr>
        <w:t>:</w:t>
      </w:r>
    </w:p>
    <w:p w14:paraId="09B89045" w14:textId="77777777" w:rsidR="00B43F34" w:rsidRPr="00B43F34" w:rsidRDefault="00B43F34" w:rsidP="00B43F34">
      <w:pPr>
        <w:pStyle w:val="BodyText"/>
        <w:numPr>
          <w:ilvl w:val="0"/>
          <w:numId w:val="4"/>
        </w:numPr>
        <w:tabs>
          <w:tab w:val="clear" w:pos="720"/>
        </w:tabs>
        <w:ind w:firstLine="450"/>
        <w:rPr>
          <w:color w:val="006FC0"/>
          <w:sz w:val="21"/>
          <w:szCs w:val="21"/>
        </w:rPr>
      </w:pPr>
      <w:r w:rsidRPr="00B43F34">
        <w:rPr>
          <w:color w:val="006FC0"/>
          <w:sz w:val="21"/>
          <w:szCs w:val="21"/>
        </w:rPr>
        <w:t>Clinical ASCVD, or</w:t>
      </w:r>
    </w:p>
    <w:p w14:paraId="08835C58" w14:textId="2857010E" w:rsidR="00B43F34" w:rsidRPr="00B43F34" w:rsidRDefault="00B43F34" w:rsidP="00B43F34">
      <w:pPr>
        <w:pStyle w:val="BodyText"/>
        <w:numPr>
          <w:ilvl w:val="0"/>
          <w:numId w:val="4"/>
        </w:numPr>
        <w:tabs>
          <w:tab w:val="clear" w:pos="720"/>
        </w:tabs>
        <w:ind w:firstLine="450"/>
        <w:rPr>
          <w:color w:val="006FC0"/>
          <w:sz w:val="21"/>
          <w:szCs w:val="21"/>
        </w:rPr>
      </w:pPr>
      <w:r w:rsidRPr="00B43F34">
        <w:rPr>
          <w:color w:val="006FC0"/>
          <w:sz w:val="21"/>
          <w:szCs w:val="21"/>
        </w:rPr>
        <w:t xml:space="preserve">Increased risk of ASCVD. Factors that increase the risk of ASCVD include type 2 diabetes </w:t>
      </w:r>
      <w:r>
        <w:rPr>
          <w:color w:val="006FC0"/>
          <w:sz w:val="21"/>
          <w:szCs w:val="21"/>
        </w:rPr>
        <w:t xml:space="preserve">        </w:t>
      </w:r>
      <w:r>
        <w:rPr>
          <w:color w:val="006FC0"/>
          <w:sz w:val="21"/>
          <w:szCs w:val="21"/>
        </w:rPr>
        <w:tab/>
      </w:r>
      <w:r>
        <w:rPr>
          <w:color w:val="006FC0"/>
          <w:sz w:val="21"/>
          <w:szCs w:val="21"/>
        </w:rPr>
        <w:tab/>
        <w:t xml:space="preserve"> </w:t>
      </w:r>
      <w:r w:rsidRPr="00B43F34">
        <w:rPr>
          <w:color w:val="006FC0"/>
          <w:sz w:val="21"/>
          <w:szCs w:val="21"/>
        </w:rPr>
        <w:t xml:space="preserve">mellitus, </w:t>
      </w:r>
      <w:proofErr w:type="spellStart"/>
      <w:r w:rsidRPr="00B43F34">
        <w:rPr>
          <w:color w:val="006FC0"/>
          <w:sz w:val="21"/>
          <w:szCs w:val="21"/>
        </w:rPr>
        <w:t>HeFH</w:t>
      </w:r>
      <w:proofErr w:type="spellEnd"/>
      <w:r w:rsidRPr="00B43F34">
        <w:rPr>
          <w:color w:val="006FC0"/>
          <w:sz w:val="21"/>
          <w:szCs w:val="21"/>
        </w:rPr>
        <w:t>, or 10-year risk of ≥20%</w:t>
      </w:r>
    </w:p>
    <w:p w14:paraId="327A5511" w14:textId="77777777" w:rsidR="00B43F34" w:rsidRPr="00B43F34" w:rsidRDefault="00B43F34" w:rsidP="00B43F34">
      <w:pPr>
        <w:pStyle w:val="BodyText"/>
        <w:numPr>
          <w:ilvl w:val="0"/>
          <w:numId w:val="3"/>
        </w:numPr>
        <w:rPr>
          <w:color w:val="006FC0"/>
          <w:sz w:val="21"/>
          <w:szCs w:val="21"/>
        </w:rPr>
      </w:pPr>
      <w:r w:rsidRPr="00B43F34">
        <w:rPr>
          <w:color w:val="006FC0"/>
          <w:sz w:val="21"/>
          <w:szCs w:val="21"/>
        </w:rPr>
        <w:t>Previous and current LDL-C–lowering treatments. Include drug names, duration of treatment(s), responses to those treatments</w:t>
      </w:r>
    </w:p>
    <w:p w14:paraId="1A1E3064" w14:textId="77777777" w:rsidR="00B43F34" w:rsidRPr="00B43F34" w:rsidRDefault="00B43F34" w:rsidP="00B43F34">
      <w:pPr>
        <w:pStyle w:val="BodyText"/>
        <w:numPr>
          <w:ilvl w:val="0"/>
          <w:numId w:val="3"/>
        </w:numPr>
        <w:rPr>
          <w:color w:val="006FC0"/>
          <w:sz w:val="21"/>
          <w:szCs w:val="21"/>
        </w:rPr>
      </w:pPr>
      <w:r w:rsidRPr="00B43F34">
        <w:rPr>
          <w:color w:val="006FC0"/>
          <w:sz w:val="21"/>
          <w:szCs w:val="21"/>
        </w:rPr>
        <w:t>Relevant patient history regarding diet and exercise</w:t>
      </w:r>
    </w:p>
    <w:p w14:paraId="13331D2F" w14:textId="77777777" w:rsidR="00B43F34" w:rsidRDefault="00B43F34" w:rsidP="00B43F34">
      <w:pPr>
        <w:pStyle w:val="BodyText"/>
        <w:numPr>
          <w:ilvl w:val="0"/>
          <w:numId w:val="3"/>
        </w:numPr>
        <w:rPr>
          <w:color w:val="006FC0"/>
          <w:sz w:val="21"/>
          <w:szCs w:val="21"/>
        </w:rPr>
      </w:pPr>
      <w:r w:rsidRPr="00B43F34">
        <w:rPr>
          <w:color w:val="006FC0"/>
          <w:sz w:val="21"/>
          <w:szCs w:val="21"/>
        </w:rPr>
        <w:t>Rationale and clinical support for why other treatments are not appropriate for this patient</w:t>
      </w:r>
    </w:p>
    <w:p w14:paraId="0641461B" w14:textId="77777777" w:rsidR="00AA46A2" w:rsidRDefault="00AA46A2" w:rsidP="00AA46A2">
      <w:pPr>
        <w:pStyle w:val="BodyText"/>
        <w:rPr>
          <w:color w:val="006FC0"/>
          <w:sz w:val="21"/>
          <w:szCs w:val="21"/>
        </w:rPr>
      </w:pPr>
    </w:p>
    <w:p w14:paraId="4B78D02A" w14:textId="77777777" w:rsidR="00AA46A2" w:rsidRDefault="00AA46A2" w:rsidP="00AA46A2">
      <w:pPr>
        <w:pStyle w:val="BodyText"/>
        <w:rPr>
          <w:color w:val="006FC0"/>
          <w:sz w:val="21"/>
          <w:szCs w:val="21"/>
        </w:rPr>
      </w:pPr>
    </w:p>
    <w:p w14:paraId="3B7A05A3" w14:textId="1D73A41E" w:rsidR="00AA46A2" w:rsidRDefault="007A266F" w:rsidP="00AA46A2">
      <w:pPr>
        <w:pStyle w:val="Heading2"/>
        <w:ind w:left="0"/>
        <w:rPr>
          <w:sz w:val="21"/>
          <w:szCs w:val="21"/>
        </w:rPr>
      </w:pPr>
      <w:r w:rsidRPr="007A266F">
        <w:rPr>
          <w:sz w:val="21"/>
          <w:szCs w:val="21"/>
        </w:rPr>
        <w:t>Please see IMPORTANT SAFETY INFORMATION on pages 2 and 3 and</w:t>
      </w:r>
      <w:r w:rsidR="00AA46A2" w:rsidRPr="0061025C">
        <w:rPr>
          <w:sz w:val="21"/>
          <w:szCs w:val="21"/>
        </w:rPr>
        <w:t xml:space="preserve"> click </w:t>
      </w:r>
      <w:hyperlink r:id="rId8">
        <w:r w:rsidR="00AA46A2" w:rsidRPr="0061025C">
          <w:rPr>
            <w:sz w:val="21"/>
            <w:szCs w:val="21"/>
            <w:u w:val="single"/>
          </w:rPr>
          <w:t>here</w:t>
        </w:r>
        <w:r w:rsidR="00AA46A2" w:rsidRPr="0061025C">
          <w:rPr>
            <w:sz w:val="21"/>
            <w:szCs w:val="21"/>
          </w:rPr>
          <w:t xml:space="preserve"> </w:t>
        </w:r>
      </w:hyperlink>
      <w:r w:rsidR="00AA46A2" w:rsidRPr="0061025C">
        <w:rPr>
          <w:sz w:val="21"/>
          <w:szCs w:val="21"/>
        </w:rPr>
        <w:t>for LEQVIO full Prescribing Information.</w:t>
      </w:r>
    </w:p>
    <w:p w14:paraId="2FBBAC79" w14:textId="77777777" w:rsidR="00014D6A" w:rsidRDefault="00014D6A" w:rsidP="00AA46A2">
      <w:pPr>
        <w:pStyle w:val="Heading2"/>
        <w:ind w:left="0"/>
        <w:rPr>
          <w:color w:val="006FC0"/>
          <w:sz w:val="21"/>
          <w:szCs w:val="21"/>
        </w:rPr>
      </w:pPr>
    </w:p>
    <w:p w14:paraId="67AC0551" w14:textId="77777777" w:rsidR="00014D6A" w:rsidRDefault="00014D6A" w:rsidP="00AA46A2">
      <w:pPr>
        <w:pStyle w:val="Heading2"/>
        <w:ind w:left="0"/>
        <w:rPr>
          <w:color w:val="006FC0"/>
          <w:sz w:val="21"/>
          <w:szCs w:val="21"/>
        </w:rPr>
      </w:pPr>
    </w:p>
    <w:p w14:paraId="7EBE6A39" w14:textId="4DD46178" w:rsidR="0060126E" w:rsidRPr="00AA46A2" w:rsidRDefault="0060126E" w:rsidP="00AA46A2">
      <w:pPr>
        <w:pStyle w:val="Heading2"/>
        <w:ind w:left="0"/>
        <w:rPr>
          <w:sz w:val="21"/>
          <w:szCs w:val="21"/>
        </w:rPr>
      </w:pPr>
      <w:r w:rsidRPr="0060126E">
        <w:rPr>
          <w:color w:val="006FC0"/>
          <w:sz w:val="21"/>
          <w:szCs w:val="21"/>
        </w:rPr>
        <w:t>For pediatric patients (aged 12-17):</w:t>
      </w:r>
    </w:p>
    <w:p w14:paraId="2158BBE5" w14:textId="024DE7B8" w:rsidR="009F512D" w:rsidRPr="00CE6E8C" w:rsidRDefault="0089786D" w:rsidP="00CE6E8C">
      <w:pPr>
        <w:pStyle w:val="BodyText"/>
        <w:numPr>
          <w:ilvl w:val="0"/>
          <w:numId w:val="5"/>
        </w:numPr>
        <w:rPr>
          <w:color w:val="006FC0"/>
          <w:sz w:val="21"/>
          <w:szCs w:val="21"/>
        </w:rPr>
      </w:pPr>
      <w:r w:rsidRPr="0089786D">
        <w:rPr>
          <w:color w:val="006FC0"/>
          <w:sz w:val="21"/>
          <w:szCs w:val="21"/>
        </w:rPr>
        <w:t>Primary diagnosis of familial hypercholesterolemia including heterozygous familial hypercholesterolemia (</w:t>
      </w:r>
      <w:proofErr w:type="spellStart"/>
      <w:r w:rsidRPr="0089786D">
        <w:rPr>
          <w:color w:val="006FC0"/>
          <w:sz w:val="21"/>
          <w:szCs w:val="21"/>
        </w:rPr>
        <w:t>HeFH</w:t>
      </w:r>
      <w:proofErr w:type="spellEnd"/>
      <w:r w:rsidRPr="0089786D">
        <w:rPr>
          <w:color w:val="006FC0"/>
          <w:sz w:val="21"/>
          <w:szCs w:val="21"/>
        </w:rPr>
        <w:t>) or homozygous familial hypercholesterolemia (</w:t>
      </w:r>
      <w:proofErr w:type="spellStart"/>
      <w:r w:rsidRPr="0089786D">
        <w:rPr>
          <w:color w:val="006FC0"/>
          <w:sz w:val="21"/>
          <w:szCs w:val="21"/>
        </w:rPr>
        <w:t>HoFH</w:t>
      </w:r>
      <w:proofErr w:type="spellEnd"/>
      <w:r w:rsidRPr="0089786D">
        <w:rPr>
          <w:color w:val="006FC0"/>
          <w:sz w:val="21"/>
          <w:szCs w:val="21"/>
        </w:rPr>
        <w:t>) (including relevant diagnosis cod</w:t>
      </w:r>
      <w:r w:rsidRPr="00562A45">
        <w:rPr>
          <w:color w:val="006FC0"/>
          <w:sz w:val="21"/>
          <w:szCs w:val="21"/>
        </w:rPr>
        <w:t>e</w:t>
      </w:r>
      <w:r w:rsidR="000B1DDE" w:rsidRPr="00562A45">
        <w:rPr>
          <w:color w:val="006FC0"/>
          <w:sz w:val="21"/>
          <w:szCs w:val="21"/>
        </w:rPr>
        <w:t>[</w:t>
      </w:r>
      <w:r w:rsidRPr="00562A45">
        <w:rPr>
          <w:color w:val="006FC0"/>
          <w:sz w:val="21"/>
          <w:szCs w:val="21"/>
        </w:rPr>
        <w:t>s</w:t>
      </w:r>
      <w:r w:rsidR="000B1DDE" w:rsidRPr="00562A45">
        <w:rPr>
          <w:color w:val="006FC0"/>
          <w:sz w:val="21"/>
          <w:szCs w:val="21"/>
        </w:rPr>
        <w:t>]</w:t>
      </w:r>
      <w:r w:rsidR="00B37DBD" w:rsidRPr="00562A45">
        <w:rPr>
          <w:color w:val="006FC0"/>
          <w:sz w:val="21"/>
          <w:szCs w:val="21"/>
        </w:rPr>
        <w:t>)</w:t>
      </w:r>
    </w:p>
    <w:p w14:paraId="3DB3FBD5" w14:textId="0CFBE64C" w:rsidR="009F512D" w:rsidRPr="0089786D" w:rsidRDefault="0089786D" w:rsidP="009F512D">
      <w:pPr>
        <w:pStyle w:val="BodyText"/>
        <w:numPr>
          <w:ilvl w:val="0"/>
          <w:numId w:val="5"/>
        </w:numPr>
        <w:rPr>
          <w:color w:val="006FC0"/>
          <w:sz w:val="21"/>
          <w:szCs w:val="21"/>
        </w:rPr>
      </w:pPr>
      <w:r w:rsidRPr="0089786D">
        <w:rPr>
          <w:color w:val="006FC0"/>
          <w:sz w:val="21"/>
          <w:szCs w:val="21"/>
        </w:rPr>
        <w:t>Previous and current LDL-C–lowering treatments. Include drug names, duration of treatment(s), responses to those treatments</w:t>
      </w:r>
    </w:p>
    <w:p w14:paraId="5BAF5EFB" w14:textId="77777777" w:rsidR="0089786D" w:rsidRPr="0089786D" w:rsidRDefault="0089786D" w:rsidP="0089786D">
      <w:pPr>
        <w:pStyle w:val="BodyText"/>
        <w:numPr>
          <w:ilvl w:val="0"/>
          <w:numId w:val="5"/>
        </w:numPr>
        <w:rPr>
          <w:color w:val="006FC0"/>
          <w:sz w:val="21"/>
          <w:szCs w:val="21"/>
        </w:rPr>
      </w:pPr>
      <w:r w:rsidRPr="0089786D">
        <w:rPr>
          <w:color w:val="006FC0"/>
          <w:sz w:val="21"/>
          <w:szCs w:val="21"/>
        </w:rPr>
        <w:t>Relevant patient history regarding diet and exercise</w:t>
      </w:r>
    </w:p>
    <w:p w14:paraId="71DBB8F8" w14:textId="77777777" w:rsidR="0089786D" w:rsidRPr="0089786D" w:rsidRDefault="0089786D" w:rsidP="0089786D">
      <w:pPr>
        <w:pStyle w:val="BodyText"/>
        <w:numPr>
          <w:ilvl w:val="0"/>
          <w:numId w:val="5"/>
        </w:numPr>
        <w:rPr>
          <w:color w:val="006FC0"/>
          <w:sz w:val="21"/>
          <w:szCs w:val="21"/>
        </w:rPr>
      </w:pPr>
      <w:r w:rsidRPr="0089786D">
        <w:rPr>
          <w:color w:val="006FC0"/>
          <w:sz w:val="21"/>
          <w:szCs w:val="21"/>
        </w:rPr>
        <w:t>Rationale and clinical support for why other treatments are not appropriate for this patient</w:t>
      </w:r>
    </w:p>
    <w:p w14:paraId="083348F9" w14:textId="77777777" w:rsidR="005776DF" w:rsidRPr="0061025C" w:rsidRDefault="005776DF">
      <w:pPr>
        <w:pStyle w:val="BodyText"/>
        <w:ind w:left="0"/>
        <w:rPr>
          <w:sz w:val="21"/>
          <w:szCs w:val="21"/>
        </w:rPr>
      </w:pPr>
    </w:p>
    <w:bookmarkEnd w:id="0"/>
    <w:p w14:paraId="57204871" w14:textId="00CD6A9C" w:rsidR="009F512D" w:rsidRDefault="006E7022" w:rsidP="002A1337">
      <w:pPr>
        <w:pStyle w:val="BodyText"/>
        <w:spacing w:before="36" w:line="256" w:lineRule="auto"/>
        <w:ind w:left="0" w:right="178"/>
        <w:rPr>
          <w:sz w:val="21"/>
          <w:szCs w:val="21"/>
        </w:rPr>
      </w:pPr>
      <w:r w:rsidRPr="0061025C">
        <w:rPr>
          <w:color w:val="006FC0"/>
          <w:sz w:val="21"/>
          <w:szCs w:val="21"/>
        </w:rPr>
        <w:t>Provide rationale for prescribing LEQVIO</w:t>
      </w:r>
      <w:r w:rsidR="00CE6E8C">
        <w:rPr>
          <w:color w:val="006FC0"/>
          <w:sz w:val="21"/>
          <w:szCs w:val="21"/>
        </w:rPr>
        <w:t>®</w:t>
      </w:r>
      <w:r w:rsidR="00014D6A">
        <w:rPr>
          <w:color w:val="006FC0"/>
          <w:sz w:val="21"/>
          <w:szCs w:val="21"/>
        </w:rPr>
        <w:t xml:space="preserve"> </w:t>
      </w:r>
      <w:r w:rsidR="00014D6A" w:rsidRPr="00014D6A">
        <w:rPr>
          <w:color w:val="006FC0"/>
          <w:sz w:val="21"/>
          <w:szCs w:val="21"/>
        </w:rPr>
        <w:t>(</w:t>
      </w:r>
      <w:proofErr w:type="spellStart"/>
      <w:r w:rsidR="00014D6A" w:rsidRPr="00014D6A">
        <w:rPr>
          <w:color w:val="006FC0"/>
          <w:sz w:val="21"/>
          <w:szCs w:val="21"/>
        </w:rPr>
        <w:t>inclisiran</w:t>
      </w:r>
      <w:proofErr w:type="spellEnd"/>
      <w:r w:rsidR="00014D6A" w:rsidRPr="00014D6A">
        <w:rPr>
          <w:color w:val="006FC0"/>
          <w:sz w:val="21"/>
          <w:szCs w:val="21"/>
        </w:rPr>
        <w:t>)</w:t>
      </w:r>
      <w:r w:rsidRPr="0061025C">
        <w:rPr>
          <w:color w:val="006FC0"/>
          <w:sz w:val="21"/>
          <w:szCs w:val="21"/>
        </w:rPr>
        <w:t>. Rationale may include: if adverse event occurred with another treatment, or if the treatment should be avoided due to comorbidity, lack of adequate response, etc. Provide clinical support for your recommendation as to why LEQVIO is the most appropriate treatment option. This can be clinical trial data from the LEQVIO Prescribing Information.</w:t>
      </w:r>
    </w:p>
    <w:p w14:paraId="3EBB84D3" w14:textId="69B16FF0" w:rsidR="00321A4F" w:rsidRPr="0061025C" w:rsidRDefault="00321A4F" w:rsidP="00955E56">
      <w:pPr>
        <w:pStyle w:val="BodyText"/>
        <w:spacing w:before="166" w:line="259" w:lineRule="auto"/>
        <w:ind w:left="0" w:right="311"/>
        <w:rPr>
          <w:sz w:val="21"/>
          <w:szCs w:val="21"/>
        </w:rPr>
      </w:pPr>
      <w:r w:rsidRPr="0061025C">
        <w:rPr>
          <w:sz w:val="21"/>
          <w:szCs w:val="21"/>
        </w:rPr>
        <w:t xml:space="preserve">The ordering physician is </w:t>
      </w:r>
      <w:r w:rsidRPr="0061025C">
        <w:rPr>
          <w:color w:val="FF3399"/>
          <w:sz w:val="21"/>
          <w:szCs w:val="21"/>
        </w:rPr>
        <w:t>[physician name, NPI #]</w:t>
      </w:r>
      <w:r w:rsidRPr="0061025C">
        <w:rPr>
          <w:sz w:val="21"/>
          <w:szCs w:val="21"/>
        </w:rPr>
        <w:t xml:space="preserve">. The decision may be faxed to </w:t>
      </w:r>
      <w:r w:rsidRPr="0061025C">
        <w:rPr>
          <w:color w:val="FF3399"/>
          <w:sz w:val="21"/>
          <w:szCs w:val="21"/>
        </w:rPr>
        <w:t xml:space="preserve">[physician fax #] </w:t>
      </w:r>
      <w:r w:rsidRPr="0061025C">
        <w:rPr>
          <w:sz w:val="21"/>
          <w:szCs w:val="21"/>
        </w:rPr>
        <w:t xml:space="preserve">or mailed to </w:t>
      </w:r>
      <w:r w:rsidRPr="0061025C">
        <w:rPr>
          <w:color w:val="FF3399"/>
          <w:sz w:val="21"/>
          <w:szCs w:val="21"/>
        </w:rPr>
        <w:t>[physician business office address]</w:t>
      </w:r>
      <w:r w:rsidRPr="0061025C">
        <w:rPr>
          <w:sz w:val="21"/>
          <w:szCs w:val="21"/>
        </w:rPr>
        <w:t xml:space="preserve">. Please also send a copy of the coverage determination decision to </w:t>
      </w:r>
      <w:r w:rsidRPr="0061025C">
        <w:rPr>
          <w:color w:val="FF3399"/>
          <w:sz w:val="21"/>
          <w:szCs w:val="21"/>
        </w:rPr>
        <w:t>[patient name]</w:t>
      </w:r>
      <w:r w:rsidRPr="0061025C">
        <w:rPr>
          <w:sz w:val="21"/>
          <w:szCs w:val="21"/>
        </w:rPr>
        <w:t xml:space="preserve">. If you have any further questions about this matter, please feel free to contact me at </w:t>
      </w:r>
      <w:r w:rsidRPr="0061025C">
        <w:rPr>
          <w:color w:val="FF3399"/>
          <w:sz w:val="21"/>
          <w:szCs w:val="21"/>
        </w:rPr>
        <w:t xml:space="preserve">[physician phone number] </w:t>
      </w:r>
      <w:r w:rsidRPr="0061025C">
        <w:rPr>
          <w:sz w:val="21"/>
          <w:szCs w:val="21"/>
        </w:rPr>
        <w:t xml:space="preserve">or via email at </w:t>
      </w:r>
      <w:r w:rsidRPr="0061025C">
        <w:rPr>
          <w:color w:val="FF3399"/>
          <w:sz w:val="21"/>
          <w:szCs w:val="21"/>
        </w:rPr>
        <w:t>[physician email]</w:t>
      </w:r>
      <w:r w:rsidRPr="0061025C">
        <w:rPr>
          <w:sz w:val="21"/>
          <w:szCs w:val="21"/>
        </w:rPr>
        <w:t>. Thank you for your time and consideration.</w:t>
      </w:r>
    </w:p>
    <w:p w14:paraId="3AE3648D" w14:textId="77777777" w:rsidR="00321A4F" w:rsidRPr="0061025C" w:rsidRDefault="00321A4F" w:rsidP="00955E56">
      <w:pPr>
        <w:pStyle w:val="BodyText"/>
        <w:spacing w:before="160"/>
        <w:ind w:left="0"/>
        <w:rPr>
          <w:sz w:val="21"/>
          <w:szCs w:val="21"/>
        </w:rPr>
      </w:pPr>
      <w:r w:rsidRPr="0061025C">
        <w:rPr>
          <w:sz w:val="21"/>
          <w:szCs w:val="21"/>
        </w:rPr>
        <w:t>Sincerely,</w:t>
      </w:r>
    </w:p>
    <w:p w14:paraId="40953D27" w14:textId="77777777" w:rsidR="00321A4F" w:rsidRPr="0061025C" w:rsidRDefault="00321A4F" w:rsidP="00955E56">
      <w:pPr>
        <w:pStyle w:val="BodyText"/>
        <w:spacing w:before="182"/>
        <w:ind w:left="0"/>
        <w:rPr>
          <w:sz w:val="21"/>
          <w:szCs w:val="21"/>
        </w:rPr>
      </w:pPr>
      <w:r w:rsidRPr="0061025C">
        <w:rPr>
          <w:color w:val="FF3399"/>
          <w:sz w:val="21"/>
          <w:szCs w:val="21"/>
        </w:rPr>
        <w:t>[Physician’s signature]</w:t>
      </w:r>
    </w:p>
    <w:p w14:paraId="3857E965" w14:textId="77777777" w:rsidR="00321A4F" w:rsidRPr="0061025C" w:rsidRDefault="00321A4F" w:rsidP="00955E56">
      <w:pPr>
        <w:pStyle w:val="BodyText"/>
        <w:spacing w:before="181" w:line="403" w:lineRule="auto"/>
        <w:ind w:left="0" w:right="870"/>
        <w:rPr>
          <w:sz w:val="21"/>
          <w:szCs w:val="21"/>
        </w:rPr>
      </w:pPr>
      <w:r w:rsidRPr="0061025C">
        <w:rPr>
          <w:color w:val="FF3399"/>
          <w:sz w:val="21"/>
          <w:szCs w:val="21"/>
        </w:rPr>
        <w:t xml:space="preserve">[Physician name] [Patient name and signature, if applicable] [Name of practice] [Phone number] </w:t>
      </w:r>
      <w:r w:rsidRPr="0061025C">
        <w:rPr>
          <w:sz w:val="21"/>
          <w:szCs w:val="21"/>
        </w:rPr>
        <w:t>Enclosures:</w:t>
      </w:r>
    </w:p>
    <w:p w14:paraId="1FA19492" w14:textId="6EE80658" w:rsidR="00321A4F" w:rsidRPr="0061025C" w:rsidRDefault="00321A4F" w:rsidP="00955E56">
      <w:pPr>
        <w:pStyle w:val="BodyText"/>
        <w:spacing w:line="259" w:lineRule="auto"/>
        <w:ind w:left="0" w:right="436"/>
        <w:rPr>
          <w:color w:val="FF3399"/>
          <w:sz w:val="21"/>
          <w:szCs w:val="21"/>
        </w:rPr>
      </w:pPr>
      <w:r w:rsidRPr="0061025C">
        <w:rPr>
          <w:color w:val="FF3399"/>
          <w:sz w:val="21"/>
          <w:szCs w:val="21"/>
        </w:rPr>
        <w:t>[List and attach additional documents, which may include a denial letter, Letter of Medical Necessity, Prescribing Information, clinical notes/medical records, clinical studies and efficacy data, and/or clinical practice guidelines.]</w:t>
      </w:r>
    </w:p>
    <w:p w14:paraId="768DCAA0" w14:textId="56485C99" w:rsidR="00EB78FE" w:rsidRPr="0061025C" w:rsidRDefault="005805A9" w:rsidP="00955E56">
      <w:pPr>
        <w:pStyle w:val="BodyText"/>
        <w:spacing w:line="259" w:lineRule="auto"/>
        <w:ind w:left="0" w:right="436"/>
        <w:rPr>
          <w:sz w:val="21"/>
          <w:szCs w:val="21"/>
        </w:rPr>
      </w:pPr>
      <w:r w:rsidRPr="0061025C">
        <w:rPr>
          <w:noProof/>
          <w:sz w:val="21"/>
          <w:szCs w:val="21"/>
        </w:rPr>
        <mc:AlternateContent>
          <mc:Choice Requires="wps">
            <w:drawing>
              <wp:anchor distT="0" distB="0" distL="0" distR="0" simplePos="0" relativeHeight="251661312" behindDoc="1" locked="0" layoutInCell="1" allowOverlap="1" wp14:anchorId="1CC24B89" wp14:editId="15400976">
                <wp:simplePos x="0" y="0"/>
                <wp:positionH relativeFrom="page">
                  <wp:posOffset>850900</wp:posOffset>
                </wp:positionH>
                <wp:positionV relativeFrom="paragraph">
                  <wp:posOffset>112395</wp:posOffset>
                </wp:positionV>
                <wp:extent cx="6076950" cy="998220"/>
                <wp:effectExtent l="0" t="0" r="1905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76950" cy="9982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508288" w14:textId="77777777" w:rsidR="005805A9" w:rsidRPr="00DE030F" w:rsidRDefault="005805A9" w:rsidP="005805A9">
                            <w:pPr>
                              <w:spacing w:before="35" w:line="259" w:lineRule="auto"/>
                              <w:ind w:left="80" w:right="126"/>
                              <w:rPr>
                                <w:i/>
                                <w:szCs w:val="26"/>
                              </w:rPr>
                            </w:pPr>
                            <w:r w:rsidRPr="00DE030F">
                              <w:rPr>
                                <w:i/>
                                <w:szCs w:val="26"/>
                              </w:rPr>
                              <w:t>This letter is provided as an example and is meant for educational purposes only. Novartis cannot guarantee insurance coverage or reimbursement. Coverage and reimbursement may vary significantly by payer, plan, patient, and setting of care. It is the sole responsibility of the health care provider to include the proper information and ensure the accuracy of all statements used in seeking coverage and reimbursement for an individual patient.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24B89" id="_x0000_t202" coordsize="21600,21600" o:spt="202" path="m,l,21600r21600,l21600,xe">
                <v:stroke joinstyle="miter"/>
                <v:path gradientshapeok="t" o:connecttype="rect"/>
              </v:shapetype>
              <v:shape id="Text Box 2" o:spid="_x0000_s1026" type="#_x0000_t202" style="position:absolute;margin-left:67pt;margin-top:8.85pt;width:478.5pt;height:78.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" filled="f" strokeweight="1pt">
                <v:path arrowok="t"/>
                <v:textbox inset="0,0,0,0">
                  <w:txbxContent>
                    <w:p w14:paraId="02508288" w14:textId="77777777" w:rsidR="005805A9" w:rsidRPr="00DE030F" w:rsidRDefault="005805A9" w:rsidP="005805A9">
                      <w:pPr>
                        <w:spacing w:before="35" w:line="259" w:lineRule="auto"/>
                        <w:ind w:left="80" w:right="126"/>
                        <w:rPr>
                          <w:i/>
                          <w:szCs w:val="26"/>
                        </w:rPr>
                      </w:pPr>
                      <w:r w:rsidRPr="00DE030F">
                        <w:rPr>
                          <w:i/>
                          <w:szCs w:val="26"/>
                        </w:rPr>
                        <w:t>This letter is provided as an example and is meant for educational purposes only. Novartis cannot guarantee insurance coverage or reimbursement. Coverage and reimbursement may vary significantly by payer, plan, patient, and setting of care. It is the sole responsibility of the health care provider to include the proper information and ensure the accuracy of all statements used in seeking coverage and reimbursement for an individual patient.</w:t>
                      </w:r>
                    </w:p>
                  </w:txbxContent>
                </v:textbox>
                <w10:wrap type="topAndBottom" anchorx="page"/>
              </v:shape>
            </w:pict>
          </mc:Fallback>
        </mc:AlternateContent>
      </w:r>
    </w:p>
    <w:p w14:paraId="14CD6674" w14:textId="77777777" w:rsidR="00321A4F" w:rsidRPr="0061025C" w:rsidRDefault="00321A4F" w:rsidP="00955E56">
      <w:pPr>
        <w:pStyle w:val="Heading1"/>
        <w:spacing w:before="159" w:line="291" w:lineRule="exact"/>
        <w:ind w:left="0"/>
        <w:rPr>
          <w:sz w:val="21"/>
          <w:szCs w:val="21"/>
        </w:rPr>
      </w:pPr>
      <w:r w:rsidRPr="0061025C">
        <w:rPr>
          <w:color w:val="6F2F9F"/>
          <w:sz w:val="21"/>
          <w:szCs w:val="21"/>
        </w:rPr>
        <w:t>INDICATION</w:t>
      </w:r>
    </w:p>
    <w:p w14:paraId="030D702F" w14:textId="2BF01D4A" w:rsidR="00321A4F" w:rsidRDefault="00C75546" w:rsidP="00955E56">
      <w:pPr>
        <w:pStyle w:val="BodyText"/>
        <w:ind w:left="0"/>
        <w:rPr>
          <w:sz w:val="21"/>
          <w:szCs w:val="21"/>
        </w:rPr>
      </w:pPr>
      <w:r w:rsidRPr="00C75546">
        <w:rPr>
          <w:sz w:val="21"/>
          <w:szCs w:val="21"/>
        </w:rPr>
        <w:t>LEQVIO</w:t>
      </w:r>
      <w:r w:rsidR="008B0C2F">
        <w:rPr>
          <w:sz w:val="21"/>
          <w:szCs w:val="21"/>
        </w:rPr>
        <w:t xml:space="preserve"> </w:t>
      </w:r>
      <w:r w:rsidRPr="00C75546">
        <w:rPr>
          <w:sz w:val="21"/>
          <w:szCs w:val="21"/>
        </w:rPr>
        <w:t>(</w:t>
      </w:r>
      <w:proofErr w:type="spellStart"/>
      <w:r w:rsidRPr="00C75546">
        <w:rPr>
          <w:sz w:val="21"/>
          <w:szCs w:val="21"/>
        </w:rPr>
        <w:t>inclisiran</w:t>
      </w:r>
      <w:proofErr w:type="spellEnd"/>
      <w:r w:rsidRPr="00C75546">
        <w:rPr>
          <w:sz w:val="21"/>
          <w:szCs w:val="21"/>
        </w:rPr>
        <w:t>) injection is indicated as an adjunct to diet and exercise to reduce low-density lipoprotein cholesterol (LDL-C) in adults with hypercholesterolemia, adults and pediatric patients aged 12 years and older with heterozygous familial hypercholesterolemia (</w:t>
      </w:r>
      <w:proofErr w:type="spellStart"/>
      <w:r w:rsidRPr="00C75546">
        <w:rPr>
          <w:sz w:val="21"/>
          <w:szCs w:val="21"/>
        </w:rPr>
        <w:t>HeFH</w:t>
      </w:r>
      <w:proofErr w:type="spellEnd"/>
      <w:r w:rsidRPr="00C75546">
        <w:rPr>
          <w:sz w:val="21"/>
          <w:szCs w:val="21"/>
        </w:rPr>
        <w:t>), and pediatric patients aged 12 years and older with homozygous familial hypercholesterolemia (</w:t>
      </w:r>
      <w:proofErr w:type="spellStart"/>
      <w:r w:rsidRPr="00C75546">
        <w:rPr>
          <w:sz w:val="21"/>
          <w:szCs w:val="21"/>
        </w:rPr>
        <w:t>HoFH</w:t>
      </w:r>
      <w:proofErr w:type="spellEnd"/>
      <w:r w:rsidRPr="00C75546">
        <w:rPr>
          <w:sz w:val="21"/>
          <w:szCs w:val="21"/>
        </w:rPr>
        <w:t>).</w:t>
      </w:r>
    </w:p>
    <w:p w14:paraId="0A10194F" w14:textId="77777777" w:rsidR="00C75546" w:rsidRPr="0061025C" w:rsidRDefault="00C75546" w:rsidP="00955E56">
      <w:pPr>
        <w:pStyle w:val="BodyText"/>
        <w:ind w:left="0"/>
        <w:rPr>
          <w:sz w:val="21"/>
          <w:szCs w:val="21"/>
        </w:rPr>
      </w:pPr>
    </w:p>
    <w:p w14:paraId="35955BE5" w14:textId="77777777" w:rsidR="00321A4F" w:rsidRPr="0061025C" w:rsidRDefault="00321A4F" w:rsidP="00955E56">
      <w:pPr>
        <w:pStyle w:val="Heading1"/>
        <w:ind w:left="0"/>
        <w:rPr>
          <w:sz w:val="21"/>
          <w:szCs w:val="21"/>
        </w:rPr>
      </w:pPr>
      <w:r w:rsidRPr="0061025C">
        <w:rPr>
          <w:color w:val="6F2F9F"/>
          <w:sz w:val="21"/>
          <w:szCs w:val="21"/>
        </w:rPr>
        <w:t>IMPORTANT SAFETY INFORM</w:t>
      </w:r>
      <w:r w:rsidRPr="008F773B">
        <w:rPr>
          <w:color w:val="6F2F9F"/>
          <w:sz w:val="21"/>
          <w:szCs w:val="21"/>
        </w:rPr>
        <w:t>ATI</w:t>
      </w:r>
      <w:r w:rsidRPr="0061025C">
        <w:rPr>
          <w:color w:val="6F2F9F"/>
          <w:sz w:val="21"/>
          <w:szCs w:val="21"/>
        </w:rPr>
        <w:t>ON</w:t>
      </w:r>
    </w:p>
    <w:p w14:paraId="4779EDFE" w14:textId="77777777" w:rsidR="009F512D" w:rsidRDefault="009F512D" w:rsidP="009F512D">
      <w:pPr>
        <w:pStyle w:val="Heading1"/>
        <w:spacing w:before="1"/>
        <w:ind w:left="0" w:hanging="10"/>
        <w:rPr>
          <w:b w:val="0"/>
          <w:bCs w:val="0"/>
          <w:sz w:val="21"/>
          <w:szCs w:val="21"/>
        </w:rPr>
      </w:pPr>
      <w:r w:rsidRPr="009F512D">
        <w:rPr>
          <w:color w:val="7030A0"/>
          <w:sz w:val="21"/>
          <w:szCs w:val="21"/>
        </w:rPr>
        <w:t xml:space="preserve">Contraindication: </w:t>
      </w:r>
      <w:r w:rsidRPr="009F512D">
        <w:rPr>
          <w:b w:val="0"/>
          <w:bCs w:val="0"/>
          <w:sz w:val="21"/>
          <w:szCs w:val="21"/>
        </w:rPr>
        <w:t xml:space="preserve">LEQVIO is contraindicated in patients with a prior serious hypersensitivity reaction to </w:t>
      </w:r>
      <w:proofErr w:type="spellStart"/>
      <w:r w:rsidRPr="009F512D">
        <w:rPr>
          <w:b w:val="0"/>
          <w:bCs w:val="0"/>
          <w:sz w:val="21"/>
          <w:szCs w:val="21"/>
        </w:rPr>
        <w:t>inclisiran</w:t>
      </w:r>
      <w:proofErr w:type="spellEnd"/>
      <w:r w:rsidRPr="009F512D">
        <w:rPr>
          <w:b w:val="0"/>
          <w:bCs w:val="0"/>
          <w:sz w:val="21"/>
          <w:szCs w:val="21"/>
        </w:rPr>
        <w:t xml:space="preserve"> or any of the excipients in LEQVIO. Serious hypersensitivity reactions have included anaphylaxis and angioedema. </w:t>
      </w:r>
    </w:p>
    <w:p w14:paraId="0218D47B" w14:textId="647E957D" w:rsidR="00AA46A2" w:rsidRDefault="009F512D" w:rsidP="003A4524">
      <w:pPr>
        <w:pStyle w:val="Heading1"/>
        <w:spacing w:before="1"/>
        <w:ind w:left="0" w:hanging="10"/>
        <w:rPr>
          <w:color w:val="7030A0"/>
          <w:sz w:val="21"/>
          <w:szCs w:val="21"/>
        </w:rPr>
      </w:pPr>
      <w:r w:rsidRPr="009F512D">
        <w:rPr>
          <w:b w:val="0"/>
          <w:bCs w:val="0"/>
          <w:sz w:val="21"/>
          <w:szCs w:val="21"/>
        </w:rPr>
        <w:br/>
      </w:r>
    </w:p>
    <w:p w14:paraId="6E8160FF" w14:textId="77777777" w:rsidR="003A4524" w:rsidRDefault="003A4524" w:rsidP="003A4524">
      <w:pPr>
        <w:pStyle w:val="Heading1"/>
        <w:spacing w:before="1"/>
        <w:ind w:left="0"/>
        <w:rPr>
          <w:color w:val="7030A0"/>
          <w:sz w:val="21"/>
          <w:szCs w:val="21"/>
        </w:rPr>
      </w:pPr>
    </w:p>
    <w:p w14:paraId="60221064" w14:textId="58B3CBC2" w:rsidR="003A4524" w:rsidRDefault="003A4524" w:rsidP="003A4524">
      <w:pPr>
        <w:pStyle w:val="Heading2"/>
        <w:ind w:left="0"/>
        <w:rPr>
          <w:sz w:val="21"/>
          <w:szCs w:val="21"/>
        </w:rPr>
      </w:pPr>
      <w:r w:rsidRPr="007A266F">
        <w:rPr>
          <w:sz w:val="21"/>
          <w:szCs w:val="21"/>
        </w:rPr>
        <w:t>Please see</w:t>
      </w:r>
      <w:r w:rsidR="004E5F58">
        <w:rPr>
          <w:sz w:val="21"/>
          <w:szCs w:val="21"/>
        </w:rPr>
        <w:t xml:space="preserve"> additional</w:t>
      </w:r>
      <w:r w:rsidRPr="007A266F">
        <w:rPr>
          <w:sz w:val="21"/>
          <w:szCs w:val="21"/>
        </w:rPr>
        <w:t xml:space="preserve"> IMPORTANT SAFETY INFORMATION on page 3 and</w:t>
      </w:r>
      <w:r w:rsidRPr="0061025C">
        <w:rPr>
          <w:sz w:val="21"/>
          <w:szCs w:val="21"/>
        </w:rPr>
        <w:t xml:space="preserve"> click </w:t>
      </w:r>
      <w:hyperlink r:id="rId9">
        <w:r w:rsidRPr="0061025C">
          <w:rPr>
            <w:sz w:val="21"/>
            <w:szCs w:val="21"/>
            <w:u w:val="single"/>
          </w:rPr>
          <w:t>here</w:t>
        </w:r>
        <w:r w:rsidRPr="0061025C">
          <w:rPr>
            <w:sz w:val="21"/>
            <w:szCs w:val="21"/>
          </w:rPr>
          <w:t xml:space="preserve"> </w:t>
        </w:r>
      </w:hyperlink>
      <w:r w:rsidRPr="0061025C">
        <w:rPr>
          <w:sz w:val="21"/>
          <w:szCs w:val="21"/>
        </w:rPr>
        <w:t>for LEQVIO full Prescribing Information.</w:t>
      </w:r>
    </w:p>
    <w:p w14:paraId="7CA4FA44" w14:textId="77777777" w:rsidR="003A4524" w:rsidRDefault="003A4524" w:rsidP="003A4524">
      <w:pPr>
        <w:pStyle w:val="Heading1"/>
        <w:spacing w:before="1"/>
        <w:ind w:left="0"/>
        <w:rPr>
          <w:color w:val="7030A0"/>
          <w:sz w:val="21"/>
          <w:szCs w:val="21"/>
        </w:rPr>
      </w:pPr>
    </w:p>
    <w:p w14:paraId="735AAFA4" w14:textId="236FDEC9" w:rsidR="00CE6E8C" w:rsidRPr="008F773B" w:rsidRDefault="00F47054" w:rsidP="009F512D">
      <w:pPr>
        <w:pStyle w:val="Heading1"/>
        <w:spacing w:before="1"/>
        <w:ind w:left="0" w:hanging="10"/>
        <w:rPr>
          <w:color w:val="6F2F9F"/>
          <w:sz w:val="21"/>
          <w:szCs w:val="21"/>
        </w:rPr>
      </w:pPr>
      <w:r w:rsidRPr="008F773B">
        <w:rPr>
          <w:color w:val="6F2F9F"/>
          <w:sz w:val="21"/>
          <w:szCs w:val="21"/>
        </w:rPr>
        <w:t>IMPORTANT SAFETY INFORMATION (continued)</w:t>
      </w:r>
    </w:p>
    <w:p w14:paraId="00B2A4B4" w14:textId="143D1814" w:rsidR="009F512D" w:rsidRDefault="009F512D" w:rsidP="009F512D">
      <w:pPr>
        <w:pStyle w:val="Heading1"/>
        <w:spacing w:before="1"/>
        <w:ind w:left="0" w:hanging="10"/>
        <w:rPr>
          <w:sz w:val="21"/>
          <w:szCs w:val="21"/>
        </w:rPr>
      </w:pPr>
      <w:r w:rsidRPr="009F512D">
        <w:rPr>
          <w:color w:val="7030A0"/>
          <w:sz w:val="21"/>
          <w:szCs w:val="21"/>
        </w:rPr>
        <w:t xml:space="preserve">Hypersensitivity Reactions: </w:t>
      </w:r>
      <w:r w:rsidRPr="009F512D">
        <w:rPr>
          <w:b w:val="0"/>
          <w:bCs w:val="0"/>
          <w:sz w:val="21"/>
          <w:szCs w:val="21"/>
        </w:rPr>
        <w:t>Hypersensitivity reactions, including anaphylaxis and angioedema</w:t>
      </w:r>
      <w:r w:rsidR="006A558D">
        <w:rPr>
          <w:b w:val="0"/>
          <w:bCs w:val="0"/>
          <w:sz w:val="21"/>
          <w:szCs w:val="21"/>
        </w:rPr>
        <w:t>,</w:t>
      </w:r>
      <w:r w:rsidRPr="009F512D">
        <w:rPr>
          <w:b w:val="0"/>
          <w:bCs w:val="0"/>
          <w:sz w:val="21"/>
          <w:szCs w:val="21"/>
        </w:rPr>
        <w:t xml:space="preserve"> have been reported in patients treated with LEQVIO</w:t>
      </w:r>
      <w:r w:rsidR="006A558D">
        <w:rPr>
          <w:b w:val="0"/>
          <w:bCs w:val="0"/>
          <w:sz w:val="21"/>
          <w:szCs w:val="21"/>
        </w:rPr>
        <w:t>®</w:t>
      </w:r>
      <w:r w:rsidR="006A558D" w:rsidRPr="006A558D">
        <w:t xml:space="preserve"> </w:t>
      </w:r>
      <w:r w:rsidR="006A558D" w:rsidRPr="006A558D">
        <w:rPr>
          <w:b w:val="0"/>
          <w:bCs w:val="0"/>
          <w:sz w:val="21"/>
          <w:szCs w:val="21"/>
        </w:rPr>
        <w:t>(</w:t>
      </w:r>
      <w:proofErr w:type="spellStart"/>
      <w:r w:rsidR="006A558D" w:rsidRPr="006A558D">
        <w:rPr>
          <w:b w:val="0"/>
          <w:bCs w:val="0"/>
          <w:sz w:val="21"/>
          <w:szCs w:val="21"/>
        </w:rPr>
        <w:t>inclisiran</w:t>
      </w:r>
      <w:proofErr w:type="spellEnd"/>
      <w:r w:rsidR="006A558D" w:rsidRPr="006A558D">
        <w:rPr>
          <w:b w:val="0"/>
          <w:bCs w:val="0"/>
          <w:sz w:val="21"/>
          <w:szCs w:val="21"/>
        </w:rPr>
        <w:t>)</w:t>
      </w:r>
      <w:r w:rsidRPr="009F512D">
        <w:rPr>
          <w:b w:val="0"/>
          <w:bCs w:val="0"/>
          <w:sz w:val="21"/>
          <w:szCs w:val="21"/>
        </w:rPr>
        <w:t>. Advise patients on the signs and symptoms of hypersensitivity reactions and instruct patients to seek medical attention promptly.</w:t>
      </w:r>
      <w:r w:rsidRPr="009F512D">
        <w:rPr>
          <w:sz w:val="21"/>
          <w:szCs w:val="21"/>
        </w:rPr>
        <w:t xml:space="preserve"> </w:t>
      </w:r>
    </w:p>
    <w:p w14:paraId="433253F8" w14:textId="6F1F5E52" w:rsidR="002A1337" w:rsidRDefault="002A1337" w:rsidP="002D417F">
      <w:pPr>
        <w:pStyle w:val="Heading1"/>
        <w:spacing w:before="1"/>
        <w:ind w:left="0" w:hanging="10"/>
        <w:rPr>
          <w:color w:val="7030A0"/>
          <w:sz w:val="21"/>
          <w:szCs w:val="21"/>
        </w:rPr>
      </w:pPr>
    </w:p>
    <w:p w14:paraId="5E2EAA75" w14:textId="56777817" w:rsidR="009F512D" w:rsidRPr="009F512D" w:rsidRDefault="009F512D" w:rsidP="009F512D">
      <w:pPr>
        <w:pStyle w:val="Heading1"/>
        <w:spacing w:before="1"/>
        <w:ind w:left="0" w:hanging="10"/>
        <w:rPr>
          <w:b w:val="0"/>
          <w:bCs w:val="0"/>
          <w:sz w:val="21"/>
          <w:szCs w:val="21"/>
        </w:rPr>
      </w:pPr>
      <w:r w:rsidRPr="009F512D">
        <w:rPr>
          <w:color w:val="7030A0"/>
          <w:sz w:val="21"/>
          <w:szCs w:val="21"/>
        </w:rPr>
        <w:t xml:space="preserve">Adverse Reactions: </w:t>
      </w:r>
      <w:r w:rsidRPr="009F512D">
        <w:rPr>
          <w:b w:val="0"/>
          <w:bCs w:val="0"/>
          <w:sz w:val="21"/>
          <w:szCs w:val="21"/>
        </w:rPr>
        <w:t xml:space="preserve">Adverse reactions in clinical trials (≥3% of adult patients treated with LEQVIO and more frequently than placebo) were injection site reaction, arthralgia, and bronchitis. The safety profile in pediatric patients aged 12 years and older with </w:t>
      </w:r>
      <w:proofErr w:type="spellStart"/>
      <w:r w:rsidRPr="009F512D">
        <w:rPr>
          <w:b w:val="0"/>
          <w:bCs w:val="0"/>
          <w:sz w:val="21"/>
          <w:szCs w:val="21"/>
        </w:rPr>
        <w:t>HeFH</w:t>
      </w:r>
      <w:proofErr w:type="spellEnd"/>
      <w:r w:rsidRPr="009F512D">
        <w:rPr>
          <w:b w:val="0"/>
          <w:bCs w:val="0"/>
          <w:sz w:val="21"/>
          <w:szCs w:val="21"/>
        </w:rPr>
        <w:t xml:space="preserve"> or </w:t>
      </w:r>
      <w:proofErr w:type="spellStart"/>
      <w:r w:rsidRPr="009F512D">
        <w:rPr>
          <w:b w:val="0"/>
          <w:bCs w:val="0"/>
          <w:sz w:val="21"/>
          <w:szCs w:val="21"/>
        </w:rPr>
        <w:t>HoFH</w:t>
      </w:r>
      <w:proofErr w:type="spellEnd"/>
      <w:r w:rsidRPr="009F512D">
        <w:rPr>
          <w:b w:val="0"/>
          <w:bCs w:val="0"/>
          <w:sz w:val="21"/>
          <w:szCs w:val="21"/>
        </w:rPr>
        <w:t xml:space="preserve"> was consistent with adult patients with hypercholesterolemia, except for a higher frequency of headache in pediatric patients with </w:t>
      </w:r>
      <w:proofErr w:type="spellStart"/>
      <w:r w:rsidRPr="009F512D">
        <w:rPr>
          <w:b w:val="0"/>
          <w:bCs w:val="0"/>
          <w:sz w:val="21"/>
          <w:szCs w:val="21"/>
        </w:rPr>
        <w:t>HeFH</w:t>
      </w:r>
      <w:proofErr w:type="spellEnd"/>
      <w:r w:rsidRPr="009F512D">
        <w:rPr>
          <w:b w:val="0"/>
          <w:bCs w:val="0"/>
          <w:sz w:val="21"/>
          <w:szCs w:val="21"/>
        </w:rPr>
        <w:t>.</w:t>
      </w:r>
    </w:p>
    <w:p w14:paraId="2CF419DA" w14:textId="77777777" w:rsidR="00084916" w:rsidRDefault="009F512D" w:rsidP="00084916">
      <w:pPr>
        <w:pStyle w:val="Heading1"/>
        <w:spacing w:before="1"/>
        <w:ind w:left="0"/>
        <w:rPr>
          <w:b w:val="0"/>
          <w:bCs w:val="0"/>
          <w:sz w:val="21"/>
          <w:szCs w:val="21"/>
        </w:rPr>
      </w:pPr>
      <w:r w:rsidRPr="009F512D">
        <w:rPr>
          <w:b w:val="0"/>
          <w:bCs w:val="0"/>
          <w:sz w:val="21"/>
          <w:szCs w:val="21"/>
        </w:rPr>
        <w:t> </w:t>
      </w:r>
    </w:p>
    <w:p w14:paraId="60AF53C6" w14:textId="77777777" w:rsidR="00084916" w:rsidRDefault="00084916" w:rsidP="00084916">
      <w:pPr>
        <w:pStyle w:val="Heading1"/>
        <w:spacing w:before="1"/>
        <w:ind w:left="0"/>
        <w:rPr>
          <w:b w:val="0"/>
          <w:bCs w:val="0"/>
          <w:sz w:val="21"/>
          <w:szCs w:val="21"/>
        </w:rPr>
      </w:pPr>
    </w:p>
    <w:p w14:paraId="038520A7" w14:textId="0F56659B" w:rsidR="00084916" w:rsidRPr="0061025C" w:rsidRDefault="00083534" w:rsidP="00084916">
      <w:pPr>
        <w:pStyle w:val="Heading1"/>
        <w:spacing w:before="1"/>
        <w:ind w:left="0"/>
        <w:rPr>
          <w:sz w:val="21"/>
          <w:szCs w:val="21"/>
        </w:rPr>
      </w:pPr>
      <w:r w:rsidRPr="00083534">
        <w:rPr>
          <w:sz w:val="21"/>
          <w:szCs w:val="21"/>
        </w:rPr>
        <w:t>Please see additional IMPORTANT SAFETY INFORMATION on page 2 and</w:t>
      </w:r>
      <w:r>
        <w:rPr>
          <w:sz w:val="21"/>
          <w:szCs w:val="21"/>
        </w:rPr>
        <w:t xml:space="preserve"> </w:t>
      </w:r>
      <w:r w:rsidR="00084916" w:rsidRPr="0061025C">
        <w:rPr>
          <w:sz w:val="21"/>
          <w:szCs w:val="21"/>
        </w:rPr>
        <w:t xml:space="preserve">click </w:t>
      </w:r>
      <w:hyperlink r:id="rId10">
        <w:r w:rsidR="00084916" w:rsidRPr="0061025C">
          <w:rPr>
            <w:sz w:val="21"/>
            <w:szCs w:val="21"/>
            <w:u w:val="single"/>
          </w:rPr>
          <w:t>here</w:t>
        </w:r>
        <w:r w:rsidR="00084916" w:rsidRPr="0061025C">
          <w:rPr>
            <w:sz w:val="21"/>
            <w:szCs w:val="21"/>
          </w:rPr>
          <w:t xml:space="preserve"> </w:t>
        </w:r>
      </w:hyperlink>
      <w:r w:rsidR="00084916" w:rsidRPr="0061025C">
        <w:rPr>
          <w:sz w:val="21"/>
          <w:szCs w:val="21"/>
        </w:rPr>
        <w:t>for LEQVIO full Prescribing Information.</w:t>
      </w:r>
    </w:p>
    <w:p w14:paraId="347C8ACF" w14:textId="254247DD" w:rsidR="00321A4F" w:rsidRPr="0061025C" w:rsidRDefault="00321A4F" w:rsidP="009F512D">
      <w:pPr>
        <w:pStyle w:val="Heading1"/>
        <w:spacing w:before="1"/>
        <w:ind w:left="0"/>
        <w:rPr>
          <w:sz w:val="21"/>
          <w:szCs w:val="21"/>
        </w:rPr>
      </w:pPr>
    </w:p>
    <w:p w14:paraId="1AEDCC5E" w14:textId="77777777" w:rsidR="00321A4F" w:rsidRPr="0061025C" w:rsidRDefault="00321A4F" w:rsidP="00955E56">
      <w:pPr>
        <w:pStyle w:val="BodyText"/>
        <w:spacing w:before="6"/>
        <w:ind w:left="0"/>
        <w:rPr>
          <w:b/>
          <w:sz w:val="21"/>
          <w:szCs w:val="21"/>
        </w:rPr>
      </w:pPr>
    </w:p>
    <w:p w14:paraId="37E16CBB" w14:textId="77777777" w:rsidR="00955E56" w:rsidRPr="0061025C" w:rsidRDefault="00955E56" w:rsidP="00955E56">
      <w:pPr>
        <w:spacing w:before="56" w:line="259" w:lineRule="auto"/>
        <w:ind w:right="113"/>
        <w:rPr>
          <w:i/>
          <w:sz w:val="21"/>
          <w:szCs w:val="21"/>
        </w:rPr>
      </w:pPr>
    </w:p>
    <w:p w14:paraId="3CBE9C67" w14:textId="77777777" w:rsidR="006E7022" w:rsidRPr="0061025C" w:rsidRDefault="006E7022" w:rsidP="00955E56">
      <w:pPr>
        <w:spacing w:before="56" w:line="259" w:lineRule="auto"/>
        <w:ind w:right="113"/>
        <w:rPr>
          <w:i/>
          <w:sz w:val="21"/>
          <w:szCs w:val="21"/>
        </w:rPr>
      </w:pPr>
    </w:p>
    <w:p w14:paraId="766F31FD" w14:textId="77777777" w:rsidR="006E7022" w:rsidRPr="0061025C" w:rsidRDefault="006E7022" w:rsidP="00955E56">
      <w:pPr>
        <w:spacing w:before="56" w:line="259" w:lineRule="auto"/>
        <w:ind w:right="113"/>
        <w:rPr>
          <w:i/>
          <w:sz w:val="21"/>
          <w:szCs w:val="21"/>
        </w:rPr>
      </w:pPr>
    </w:p>
    <w:p w14:paraId="2F7E9D02" w14:textId="77777777" w:rsidR="006E7022" w:rsidRPr="0061025C" w:rsidRDefault="006E7022" w:rsidP="00955E56">
      <w:pPr>
        <w:spacing w:before="56" w:line="259" w:lineRule="auto"/>
        <w:ind w:right="113"/>
        <w:rPr>
          <w:i/>
          <w:sz w:val="21"/>
          <w:szCs w:val="21"/>
        </w:rPr>
      </w:pPr>
    </w:p>
    <w:p w14:paraId="66B84AFB" w14:textId="77777777" w:rsidR="006E7022" w:rsidRPr="0061025C" w:rsidRDefault="006E7022" w:rsidP="00955E56">
      <w:pPr>
        <w:spacing w:before="56" w:line="259" w:lineRule="auto"/>
        <w:ind w:right="113"/>
        <w:rPr>
          <w:i/>
          <w:sz w:val="21"/>
          <w:szCs w:val="21"/>
        </w:rPr>
      </w:pPr>
    </w:p>
    <w:p w14:paraId="69FF583B" w14:textId="77777777" w:rsidR="006E7022" w:rsidRDefault="006E7022" w:rsidP="00955E56">
      <w:pPr>
        <w:spacing w:before="56" w:line="259" w:lineRule="auto"/>
        <w:ind w:right="113"/>
        <w:rPr>
          <w:i/>
          <w:sz w:val="21"/>
          <w:szCs w:val="21"/>
        </w:rPr>
      </w:pPr>
    </w:p>
    <w:p w14:paraId="0B46C76B" w14:textId="77777777" w:rsidR="0061025C" w:rsidRDefault="0061025C" w:rsidP="00955E56">
      <w:pPr>
        <w:spacing w:before="56" w:line="259" w:lineRule="auto"/>
        <w:ind w:right="113"/>
        <w:rPr>
          <w:i/>
          <w:sz w:val="21"/>
          <w:szCs w:val="21"/>
        </w:rPr>
      </w:pPr>
    </w:p>
    <w:p w14:paraId="4BD8DF8C" w14:textId="77777777" w:rsidR="0061025C" w:rsidRDefault="0061025C" w:rsidP="00955E56">
      <w:pPr>
        <w:spacing w:before="56" w:line="259" w:lineRule="auto"/>
        <w:ind w:right="113"/>
        <w:rPr>
          <w:i/>
          <w:sz w:val="21"/>
          <w:szCs w:val="21"/>
        </w:rPr>
      </w:pPr>
    </w:p>
    <w:p w14:paraId="6C65B92A" w14:textId="77777777" w:rsidR="0061025C" w:rsidRPr="0061025C" w:rsidRDefault="0061025C" w:rsidP="00955E56">
      <w:pPr>
        <w:spacing w:before="56" w:line="259" w:lineRule="auto"/>
        <w:ind w:right="113"/>
        <w:rPr>
          <w:i/>
          <w:sz w:val="21"/>
          <w:szCs w:val="21"/>
        </w:rPr>
      </w:pPr>
    </w:p>
    <w:p w14:paraId="690550AA" w14:textId="77777777" w:rsidR="009F512D" w:rsidRDefault="009F512D" w:rsidP="00321A4F">
      <w:pPr>
        <w:pStyle w:val="BodyText"/>
        <w:spacing w:before="36" w:line="256" w:lineRule="auto"/>
        <w:ind w:left="0" w:right="178"/>
        <w:rPr>
          <w:color w:val="171516"/>
          <w:sz w:val="21"/>
          <w:szCs w:val="21"/>
        </w:rPr>
      </w:pPr>
    </w:p>
    <w:p w14:paraId="3AB1A9D7" w14:textId="77777777" w:rsidR="009F512D" w:rsidRDefault="009F512D" w:rsidP="00321A4F">
      <w:pPr>
        <w:pStyle w:val="BodyText"/>
        <w:spacing w:before="36" w:line="256" w:lineRule="auto"/>
        <w:ind w:left="0" w:right="178"/>
        <w:rPr>
          <w:color w:val="171516"/>
          <w:sz w:val="21"/>
          <w:szCs w:val="21"/>
        </w:rPr>
      </w:pPr>
    </w:p>
    <w:p w14:paraId="7F7BC90D" w14:textId="77777777" w:rsidR="009F512D" w:rsidRDefault="009F512D" w:rsidP="00321A4F">
      <w:pPr>
        <w:pStyle w:val="BodyText"/>
        <w:spacing w:before="36" w:line="256" w:lineRule="auto"/>
        <w:ind w:left="0" w:right="178"/>
        <w:rPr>
          <w:color w:val="171516"/>
          <w:sz w:val="21"/>
          <w:szCs w:val="21"/>
        </w:rPr>
      </w:pPr>
    </w:p>
    <w:p w14:paraId="19179CBF" w14:textId="77777777" w:rsidR="009F512D" w:rsidRDefault="009F512D" w:rsidP="00321A4F">
      <w:pPr>
        <w:pStyle w:val="BodyText"/>
        <w:spacing w:before="36" w:line="256" w:lineRule="auto"/>
        <w:ind w:left="0" w:right="178"/>
        <w:rPr>
          <w:color w:val="171516"/>
          <w:sz w:val="21"/>
          <w:szCs w:val="21"/>
        </w:rPr>
      </w:pPr>
    </w:p>
    <w:p w14:paraId="215FD278" w14:textId="77777777" w:rsidR="009F512D" w:rsidRDefault="009F512D" w:rsidP="00321A4F">
      <w:pPr>
        <w:pStyle w:val="BodyText"/>
        <w:spacing w:before="36" w:line="256" w:lineRule="auto"/>
        <w:ind w:left="0" w:right="178"/>
        <w:rPr>
          <w:color w:val="171516"/>
          <w:sz w:val="21"/>
          <w:szCs w:val="21"/>
        </w:rPr>
      </w:pPr>
    </w:p>
    <w:p w14:paraId="23F65365" w14:textId="77777777" w:rsidR="009F512D" w:rsidRDefault="009F512D" w:rsidP="00321A4F">
      <w:pPr>
        <w:pStyle w:val="BodyText"/>
        <w:spacing w:before="36" w:line="256" w:lineRule="auto"/>
        <w:ind w:left="0" w:right="178"/>
        <w:rPr>
          <w:color w:val="171516"/>
          <w:sz w:val="21"/>
          <w:szCs w:val="21"/>
        </w:rPr>
      </w:pPr>
    </w:p>
    <w:p w14:paraId="1B8821F3" w14:textId="77777777" w:rsidR="009F512D" w:rsidRDefault="009F512D" w:rsidP="00321A4F">
      <w:pPr>
        <w:pStyle w:val="BodyText"/>
        <w:spacing w:before="36" w:line="256" w:lineRule="auto"/>
        <w:ind w:left="0" w:right="178"/>
        <w:rPr>
          <w:color w:val="171516"/>
          <w:sz w:val="21"/>
          <w:szCs w:val="21"/>
        </w:rPr>
      </w:pPr>
    </w:p>
    <w:p w14:paraId="05D2D5AA" w14:textId="77777777" w:rsidR="009F512D" w:rsidRDefault="009F512D" w:rsidP="00321A4F">
      <w:pPr>
        <w:pStyle w:val="BodyText"/>
        <w:spacing w:before="36" w:line="256" w:lineRule="auto"/>
        <w:ind w:left="0" w:right="178"/>
        <w:rPr>
          <w:color w:val="171516"/>
          <w:sz w:val="21"/>
          <w:szCs w:val="21"/>
        </w:rPr>
      </w:pPr>
    </w:p>
    <w:p w14:paraId="4915D254" w14:textId="1D6DB110" w:rsidR="009F512D" w:rsidRDefault="009F512D" w:rsidP="00321A4F">
      <w:pPr>
        <w:pStyle w:val="BodyText"/>
        <w:spacing w:before="36" w:line="256" w:lineRule="auto"/>
        <w:ind w:left="0" w:right="178"/>
        <w:rPr>
          <w:color w:val="171516"/>
          <w:sz w:val="21"/>
          <w:szCs w:val="21"/>
        </w:rPr>
      </w:pPr>
    </w:p>
    <w:p w14:paraId="66A840C8" w14:textId="585021FC" w:rsidR="009F512D" w:rsidRDefault="009F512D" w:rsidP="00321A4F">
      <w:pPr>
        <w:pStyle w:val="BodyText"/>
        <w:spacing w:before="36" w:line="256" w:lineRule="auto"/>
        <w:ind w:left="0" w:right="178"/>
        <w:rPr>
          <w:color w:val="171516"/>
          <w:sz w:val="21"/>
          <w:szCs w:val="21"/>
        </w:rPr>
      </w:pPr>
    </w:p>
    <w:p w14:paraId="667960B4" w14:textId="0724F0A9" w:rsidR="009F512D" w:rsidRDefault="009F512D" w:rsidP="00321A4F">
      <w:pPr>
        <w:pStyle w:val="BodyText"/>
        <w:spacing w:before="36" w:line="256" w:lineRule="auto"/>
        <w:ind w:left="0" w:right="178"/>
        <w:rPr>
          <w:color w:val="171516"/>
          <w:sz w:val="21"/>
          <w:szCs w:val="21"/>
        </w:rPr>
      </w:pPr>
    </w:p>
    <w:p w14:paraId="156754F3" w14:textId="19EB5AC1" w:rsidR="009F512D" w:rsidRDefault="009F512D" w:rsidP="00321A4F">
      <w:pPr>
        <w:pStyle w:val="BodyText"/>
        <w:spacing w:before="36" w:line="256" w:lineRule="auto"/>
        <w:ind w:left="0" w:right="178"/>
        <w:rPr>
          <w:color w:val="171516"/>
          <w:sz w:val="21"/>
          <w:szCs w:val="21"/>
        </w:rPr>
      </w:pPr>
    </w:p>
    <w:p w14:paraId="4F399629" w14:textId="77777777" w:rsidR="00014D6A" w:rsidRDefault="00014D6A" w:rsidP="00321A4F">
      <w:pPr>
        <w:pStyle w:val="BodyText"/>
        <w:spacing w:before="36" w:line="256" w:lineRule="auto"/>
        <w:ind w:left="0" w:right="178"/>
        <w:rPr>
          <w:color w:val="171516"/>
          <w:sz w:val="21"/>
          <w:szCs w:val="21"/>
        </w:rPr>
      </w:pPr>
    </w:p>
    <w:p w14:paraId="2BC6C857" w14:textId="77777777" w:rsidR="00562A45" w:rsidRDefault="00562A45" w:rsidP="00321A4F">
      <w:pPr>
        <w:pStyle w:val="BodyText"/>
        <w:spacing w:before="36" w:line="256" w:lineRule="auto"/>
        <w:ind w:left="0" w:right="178"/>
        <w:rPr>
          <w:color w:val="171516"/>
          <w:sz w:val="21"/>
          <w:szCs w:val="21"/>
        </w:rPr>
      </w:pPr>
    </w:p>
    <w:p w14:paraId="2C73D129" w14:textId="77777777" w:rsidR="00004217" w:rsidRDefault="00004217" w:rsidP="004E2A7C">
      <w:pPr>
        <w:widowControl/>
        <w:autoSpaceDE/>
        <w:autoSpaceDN/>
        <w:rPr>
          <w:rFonts w:ascii="Aptos" w:eastAsia="Aptos" w:hAnsi="Aptos" w:cs="Times New Roman"/>
          <w:kern w:val="2"/>
          <w:sz w:val="20"/>
          <w:szCs w:val="20"/>
          <w14:ligatures w14:val="standardContextual"/>
        </w:rPr>
      </w:pPr>
    </w:p>
    <w:p w14:paraId="5356FCCE" w14:textId="77777777" w:rsidR="004E2A7C" w:rsidRDefault="004E2A7C" w:rsidP="004E2A7C">
      <w:pPr>
        <w:widowControl/>
        <w:autoSpaceDE/>
        <w:autoSpaceDN/>
        <w:rPr>
          <w:rFonts w:ascii="Aptos" w:eastAsia="Aptos" w:hAnsi="Aptos" w:cs="Times New Roman"/>
          <w:kern w:val="2"/>
          <w:sz w:val="20"/>
          <w:szCs w:val="20"/>
          <w14:ligatures w14:val="standardContextual"/>
        </w:rPr>
      </w:pPr>
    </w:p>
    <w:p w14:paraId="44CA1D65" w14:textId="1C6213D8" w:rsidR="004E2A7C" w:rsidRPr="00BD5E69" w:rsidRDefault="004E2A7C" w:rsidP="004E2A7C">
      <w:pPr>
        <w:widowControl/>
        <w:autoSpaceDE/>
        <w:autoSpaceDN/>
        <w:rPr>
          <w:rFonts w:ascii="Aptos" w:eastAsia="Aptos" w:hAnsi="Aptos" w:cs="Times New Roman"/>
          <w:kern w:val="2"/>
          <w:sz w:val="20"/>
          <w:szCs w:val="20"/>
          <w14:ligatures w14:val="standardContextual"/>
        </w:rPr>
      </w:pPr>
      <w:r w:rsidRPr="00BD5E69">
        <w:rPr>
          <w:rFonts w:ascii="Aptos" w:eastAsia="Aptos" w:hAnsi="Aptos" w:cs="Times New Roman"/>
          <w:kern w:val="2"/>
          <w:sz w:val="20"/>
          <w:szCs w:val="20"/>
          <w14:ligatures w14:val="standardContextual"/>
        </w:rPr>
        <w:t>Licensed from Alnylam Pharmaceuticals, Inc.</w:t>
      </w:r>
    </w:p>
    <w:p w14:paraId="18D6974B" w14:textId="77777777" w:rsidR="004E2A7C" w:rsidRPr="00BD5E69" w:rsidRDefault="004E2A7C" w:rsidP="004E2A7C">
      <w:pPr>
        <w:widowControl/>
        <w:autoSpaceDE/>
        <w:autoSpaceDN/>
        <w:rPr>
          <w:rFonts w:ascii="Aptos" w:eastAsia="Aptos" w:hAnsi="Aptos" w:cs="Times New Roman"/>
          <w:kern w:val="2"/>
          <w14:ligatures w14:val="standardContextual"/>
        </w:rPr>
      </w:pPr>
      <w:r w:rsidRPr="00BD5E69">
        <w:rPr>
          <w:rFonts w:ascii="Aptos" w:eastAsia="Aptos" w:hAnsi="Aptos" w:cs="Times New Roman"/>
          <w:noProof/>
          <w:kern w:val="2"/>
          <w14:ligatures w14:val="standardContextual"/>
        </w:rPr>
        <w:drawing>
          <wp:anchor distT="0" distB="0" distL="114300" distR="114300" simplePos="0" relativeHeight="251663360" behindDoc="1" locked="0" layoutInCell="1" allowOverlap="1" wp14:anchorId="1DBB178B" wp14:editId="2D82DF14">
            <wp:simplePos x="0" y="0"/>
            <wp:positionH relativeFrom="margin">
              <wp:posOffset>-334632</wp:posOffset>
            </wp:positionH>
            <wp:positionV relativeFrom="paragraph">
              <wp:posOffset>231775</wp:posOffset>
            </wp:positionV>
            <wp:extent cx="1417320" cy="255905"/>
            <wp:effectExtent l="0" t="0" r="0" b="0"/>
            <wp:wrapTight wrapText="bothSides">
              <wp:wrapPolygon edited="0">
                <wp:start x="581" y="0"/>
                <wp:lineTo x="0" y="1608"/>
                <wp:lineTo x="0" y="16079"/>
                <wp:lineTo x="290" y="19295"/>
                <wp:lineTo x="21194" y="19295"/>
                <wp:lineTo x="21194" y="4824"/>
                <wp:lineTo x="2613" y="0"/>
                <wp:lineTo x="581" y="0"/>
              </wp:wrapPolygon>
            </wp:wrapTight>
            <wp:docPr id="910817976" name="Picture 91081797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stretch>
                      <a:fillRect/>
                    </a:stretch>
                  </pic:blipFill>
                  <pic:spPr>
                    <a:xfrm>
                      <a:off x="0" y="0"/>
                      <a:ext cx="1417320" cy="255905"/>
                    </a:xfrm>
                    <a:prstGeom prst="rect">
                      <a:avLst/>
                    </a:prstGeom>
                  </pic:spPr>
                </pic:pic>
              </a:graphicData>
            </a:graphic>
            <wp14:sizeRelH relativeFrom="margin">
              <wp14:pctWidth>0</wp14:pctWidth>
            </wp14:sizeRelH>
            <wp14:sizeRelV relativeFrom="margin">
              <wp14:pctHeight>0</wp14:pctHeight>
            </wp14:sizeRelV>
          </wp:anchor>
        </w:drawing>
      </w:r>
    </w:p>
    <w:p w14:paraId="7B76C56D" w14:textId="77777777" w:rsidR="004E2A7C" w:rsidRPr="00BD5E69" w:rsidRDefault="004E2A7C" w:rsidP="004E2A7C">
      <w:pPr>
        <w:widowControl/>
        <w:autoSpaceDE/>
        <w:autoSpaceDN/>
        <w:rPr>
          <w:rFonts w:ascii="Aptos" w:eastAsia="Aptos" w:hAnsi="Aptos" w:cs="Times New Roman"/>
          <w:kern w:val="2"/>
          <w14:ligatures w14:val="standardContextual"/>
        </w:rPr>
      </w:pPr>
    </w:p>
    <w:p w14:paraId="1680D4BF" w14:textId="77777777" w:rsidR="004E2A7C" w:rsidRPr="00BD5E69" w:rsidRDefault="004E2A7C" w:rsidP="004E2A7C">
      <w:pPr>
        <w:widowControl/>
        <w:autoSpaceDE/>
        <w:autoSpaceDN/>
        <w:rPr>
          <w:rFonts w:ascii="Aptos" w:eastAsia="Aptos" w:hAnsi="Aptos" w:cs="Times New Roman"/>
          <w:b/>
          <w:kern w:val="2"/>
          <w14:ligatures w14:val="standardContextual"/>
        </w:rPr>
      </w:pPr>
    </w:p>
    <w:p w14:paraId="676E5776" w14:textId="77777777" w:rsidR="004E2A7C" w:rsidRPr="00BD5E69" w:rsidRDefault="004E2A7C" w:rsidP="004E2A7C">
      <w:pPr>
        <w:widowControl/>
        <w:autoSpaceDE/>
        <w:autoSpaceDN/>
        <w:rPr>
          <w:rFonts w:ascii="Aptos" w:eastAsia="Aptos" w:hAnsi="Aptos" w:cs="Times New Roman"/>
          <w:b/>
          <w:kern w:val="2"/>
          <w14:ligatures w14:val="standardContextual"/>
        </w:rPr>
      </w:pPr>
    </w:p>
    <w:p w14:paraId="0F1E2CED" w14:textId="77777777" w:rsidR="004E2A7C" w:rsidRPr="00BD5E69" w:rsidRDefault="004E2A7C" w:rsidP="004E2A7C">
      <w:pPr>
        <w:widowControl/>
        <w:autoSpaceDE/>
        <w:autoSpaceDN/>
        <w:rPr>
          <w:rFonts w:ascii="Aptos" w:eastAsia="Aptos" w:hAnsi="Aptos" w:cs="Times New Roman"/>
          <w:b/>
          <w:kern w:val="2"/>
          <w:sz w:val="20"/>
          <w:szCs w:val="20"/>
          <w14:ligatures w14:val="standardContextual"/>
        </w:rPr>
      </w:pPr>
      <w:r w:rsidRPr="00BD5E69">
        <w:rPr>
          <w:rFonts w:ascii="Aptos" w:eastAsia="Aptos" w:hAnsi="Aptos" w:cs="Times New Roman"/>
          <w:b/>
          <w:kern w:val="2"/>
          <w:sz w:val="20"/>
          <w:szCs w:val="20"/>
          <w14:ligatures w14:val="standardContextual"/>
        </w:rPr>
        <w:t>Novartis Pharmaceuticals Corporation</w:t>
      </w:r>
    </w:p>
    <w:p w14:paraId="13AE3886" w14:textId="77777777" w:rsidR="004E2A7C" w:rsidRDefault="004E2A7C" w:rsidP="004E2A7C">
      <w:pPr>
        <w:pStyle w:val="BodyText"/>
        <w:spacing w:before="36" w:line="256" w:lineRule="auto"/>
        <w:ind w:left="0" w:right="178"/>
        <w:rPr>
          <w:color w:val="171516"/>
          <w:sz w:val="21"/>
          <w:szCs w:val="21"/>
        </w:rPr>
      </w:pPr>
      <w:r w:rsidRPr="00BD5E69">
        <w:rPr>
          <w:rFonts w:ascii="Aptos" w:eastAsia="Aptos" w:hAnsi="Aptos" w:cs="Times New Roman"/>
          <w:kern w:val="2"/>
          <w:sz w:val="20"/>
          <w:szCs w:val="20"/>
          <w14:ligatures w14:val="standardContextual"/>
        </w:rPr>
        <w:t xml:space="preserve">East Hanover, New Jersey 07936-1080                            © 2026 Novartis                             </w:t>
      </w:r>
      <w:r>
        <w:rPr>
          <w:rFonts w:ascii="Aptos" w:eastAsia="Aptos" w:hAnsi="Aptos" w:cs="Times New Roman"/>
          <w:kern w:val="2"/>
          <w:sz w:val="20"/>
          <w:szCs w:val="20"/>
          <w14:ligatures w14:val="standardContextual"/>
        </w:rPr>
        <w:t>3</w:t>
      </w:r>
      <w:r w:rsidRPr="00BD5E69">
        <w:rPr>
          <w:rFonts w:ascii="Aptos" w:eastAsia="Aptos" w:hAnsi="Aptos" w:cs="Times New Roman"/>
          <w:kern w:val="2"/>
          <w:sz w:val="20"/>
          <w:szCs w:val="20"/>
          <w14:ligatures w14:val="standardContextual"/>
        </w:rPr>
        <w:t xml:space="preserve">/26                       </w:t>
      </w:r>
      <w:r w:rsidRPr="00A53186">
        <w:rPr>
          <w:rFonts w:ascii="Aptos" w:eastAsia="Aptos" w:hAnsi="Aptos" w:cs="Times New Roman"/>
          <w:color w:val="000000"/>
          <w:kern w:val="2"/>
          <w:sz w:val="20"/>
          <w:szCs w:val="20"/>
          <w14:ligatures w14:val="standardContextual"/>
        </w:rPr>
        <w:t>FA-11606406</w:t>
      </w:r>
    </w:p>
    <w:sectPr w:rsidR="004E2A7C" w:rsidSect="005B29FF">
      <w:footerReference w:type="default" r:id="rId12"/>
      <w:pgSz w:w="12240" w:h="15840"/>
      <w:pgMar w:top="696" w:right="1320" w:bottom="1239" w:left="134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081E" w14:textId="77777777" w:rsidR="00ED2724" w:rsidRDefault="00ED2724">
      <w:r>
        <w:separator/>
      </w:r>
    </w:p>
  </w:endnote>
  <w:endnote w:type="continuationSeparator" w:id="0">
    <w:p w14:paraId="16012711" w14:textId="77777777" w:rsidR="00ED2724" w:rsidRDefault="00ED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panose1 w:val="020B0604020202020204"/>
    <w:charset w:val="00"/>
    <w:family w:val="swiss"/>
    <w:pitch w:val="variable"/>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F66A" w14:textId="61760D05" w:rsidR="009D5568" w:rsidRDefault="009D5568">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AB37E" w14:textId="77777777" w:rsidR="00ED2724" w:rsidRDefault="00ED2724">
      <w:r>
        <w:separator/>
      </w:r>
    </w:p>
  </w:footnote>
  <w:footnote w:type="continuationSeparator" w:id="0">
    <w:p w14:paraId="38EBEC93" w14:textId="77777777" w:rsidR="00ED2724" w:rsidRDefault="00ED2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722E6"/>
    <w:multiLevelType w:val="multilevel"/>
    <w:tmpl w:val="0BC85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8368E7"/>
    <w:multiLevelType w:val="multilevel"/>
    <w:tmpl w:val="74C40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E21BB1"/>
    <w:multiLevelType w:val="multilevel"/>
    <w:tmpl w:val="10A6F5EC"/>
    <w:lvl w:ilvl="0">
      <w:start w:val="1"/>
      <w:numFmt w:val="decimal"/>
      <w:lvlText w:val="%1."/>
      <w:lvlJc w:val="left"/>
      <w:pPr>
        <w:tabs>
          <w:tab w:val="num" w:pos="720"/>
        </w:tabs>
        <w:ind w:left="720" w:hanging="360"/>
      </w:pPr>
      <w:rPr>
        <w:color w:val="006FC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5F7D82"/>
    <w:multiLevelType w:val="hybridMultilevel"/>
    <w:tmpl w:val="77FA145C"/>
    <w:lvl w:ilvl="0" w:tplc="8264CB56">
      <w:numFmt w:val="bullet"/>
      <w:lvlText w:val=""/>
      <w:lvlJc w:val="left"/>
      <w:pPr>
        <w:ind w:left="821" w:hanging="360"/>
      </w:pPr>
      <w:rPr>
        <w:rFonts w:ascii="Symbol" w:eastAsia="Symbol" w:hAnsi="Symbol" w:cs="Symbol" w:hint="default"/>
        <w:color w:val="006FC0"/>
        <w:w w:val="100"/>
        <w:sz w:val="22"/>
        <w:szCs w:val="22"/>
        <w:lang w:val="en-US" w:eastAsia="en-US" w:bidi="ar-SA"/>
      </w:rPr>
    </w:lvl>
    <w:lvl w:ilvl="1" w:tplc="4CD62524">
      <w:numFmt w:val="bullet"/>
      <w:lvlText w:val="•"/>
      <w:lvlJc w:val="left"/>
      <w:pPr>
        <w:ind w:left="1696" w:hanging="360"/>
      </w:pPr>
      <w:rPr>
        <w:rFonts w:hint="default"/>
        <w:lang w:val="en-US" w:eastAsia="en-US" w:bidi="ar-SA"/>
      </w:rPr>
    </w:lvl>
    <w:lvl w:ilvl="2" w:tplc="4218F190">
      <w:numFmt w:val="bullet"/>
      <w:lvlText w:val="•"/>
      <w:lvlJc w:val="left"/>
      <w:pPr>
        <w:ind w:left="2572" w:hanging="360"/>
      </w:pPr>
      <w:rPr>
        <w:rFonts w:hint="default"/>
        <w:lang w:val="en-US" w:eastAsia="en-US" w:bidi="ar-SA"/>
      </w:rPr>
    </w:lvl>
    <w:lvl w:ilvl="3" w:tplc="B596CC06">
      <w:numFmt w:val="bullet"/>
      <w:lvlText w:val="•"/>
      <w:lvlJc w:val="left"/>
      <w:pPr>
        <w:ind w:left="3448" w:hanging="360"/>
      </w:pPr>
      <w:rPr>
        <w:rFonts w:hint="default"/>
        <w:lang w:val="en-US" w:eastAsia="en-US" w:bidi="ar-SA"/>
      </w:rPr>
    </w:lvl>
    <w:lvl w:ilvl="4" w:tplc="761CAC02">
      <w:numFmt w:val="bullet"/>
      <w:lvlText w:val="•"/>
      <w:lvlJc w:val="left"/>
      <w:pPr>
        <w:ind w:left="4324" w:hanging="360"/>
      </w:pPr>
      <w:rPr>
        <w:rFonts w:hint="default"/>
        <w:lang w:val="en-US" w:eastAsia="en-US" w:bidi="ar-SA"/>
      </w:rPr>
    </w:lvl>
    <w:lvl w:ilvl="5" w:tplc="4596DD36">
      <w:numFmt w:val="bullet"/>
      <w:lvlText w:val="•"/>
      <w:lvlJc w:val="left"/>
      <w:pPr>
        <w:ind w:left="5200" w:hanging="360"/>
      </w:pPr>
      <w:rPr>
        <w:rFonts w:hint="default"/>
        <w:lang w:val="en-US" w:eastAsia="en-US" w:bidi="ar-SA"/>
      </w:rPr>
    </w:lvl>
    <w:lvl w:ilvl="6" w:tplc="0BDC59D8">
      <w:numFmt w:val="bullet"/>
      <w:lvlText w:val="•"/>
      <w:lvlJc w:val="left"/>
      <w:pPr>
        <w:ind w:left="6076" w:hanging="360"/>
      </w:pPr>
      <w:rPr>
        <w:rFonts w:hint="default"/>
        <w:lang w:val="en-US" w:eastAsia="en-US" w:bidi="ar-SA"/>
      </w:rPr>
    </w:lvl>
    <w:lvl w:ilvl="7" w:tplc="1BECAB54">
      <w:numFmt w:val="bullet"/>
      <w:lvlText w:val="•"/>
      <w:lvlJc w:val="left"/>
      <w:pPr>
        <w:ind w:left="6952" w:hanging="360"/>
      </w:pPr>
      <w:rPr>
        <w:rFonts w:hint="default"/>
        <w:lang w:val="en-US" w:eastAsia="en-US" w:bidi="ar-SA"/>
      </w:rPr>
    </w:lvl>
    <w:lvl w:ilvl="8" w:tplc="3D7E6808">
      <w:numFmt w:val="bullet"/>
      <w:lvlText w:val="•"/>
      <w:lvlJc w:val="left"/>
      <w:pPr>
        <w:ind w:left="7828" w:hanging="360"/>
      </w:pPr>
      <w:rPr>
        <w:rFonts w:hint="default"/>
        <w:lang w:val="en-US" w:eastAsia="en-US" w:bidi="ar-SA"/>
      </w:rPr>
    </w:lvl>
  </w:abstractNum>
  <w:abstractNum w:abstractNumId="4" w15:restartNumberingAfterBreak="0">
    <w:nsid w:val="653452B7"/>
    <w:multiLevelType w:val="multilevel"/>
    <w:tmpl w:val="2854766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584031">
    <w:abstractNumId w:val="3"/>
  </w:num>
  <w:num w:numId="2" w16cid:durableId="656887405">
    <w:abstractNumId w:val="1"/>
  </w:num>
  <w:num w:numId="3" w16cid:durableId="1412696360">
    <w:abstractNumId w:val="2"/>
  </w:num>
  <w:num w:numId="4" w16cid:durableId="1942183598">
    <w:abstractNumId w:val="4"/>
  </w:num>
  <w:num w:numId="5" w16cid:durableId="176272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68"/>
    <w:rsid w:val="00004217"/>
    <w:rsid w:val="00012F8E"/>
    <w:rsid w:val="00014D6A"/>
    <w:rsid w:val="000663D7"/>
    <w:rsid w:val="00067C48"/>
    <w:rsid w:val="00081D07"/>
    <w:rsid w:val="00083534"/>
    <w:rsid w:val="00084916"/>
    <w:rsid w:val="000B1DDE"/>
    <w:rsid w:val="001A766C"/>
    <w:rsid w:val="001B36F3"/>
    <w:rsid w:val="001D2E38"/>
    <w:rsid w:val="001D5CC8"/>
    <w:rsid w:val="00233414"/>
    <w:rsid w:val="00263664"/>
    <w:rsid w:val="002A1337"/>
    <w:rsid w:val="002B3D3F"/>
    <w:rsid w:val="002C4A47"/>
    <w:rsid w:val="002D417F"/>
    <w:rsid w:val="002D57DA"/>
    <w:rsid w:val="002F47E6"/>
    <w:rsid w:val="00321A4F"/>
    <w:rsid w:val="00370B19"/>
    <w:rsid w:val="003737F7"/>
    <w:rsid w:val="00392116"/>
    <w:rsid w:val="003A4524"/>
    <w:rsid w:val="003C7FB8"/>
    <w:rsid w:val="003E060C"/>
    <w:rsid w:val="003F045D"/>
    <w:rsid w:val="004350E6"/>
    <w:rsid w:val="0045118C"/>
    <w:rsid w:val="00451822"/>
    <w:rsid w:val="00463E3B"/>
    <w:rsid w:val="004662C7"/>
    <w:rsid w:val="004904EB"/>
    <w:rsid w:val="004E2A7C"/>
    <w:rsid w:val="004E5F58"/>
    <w:rsid w:val="00562A45"/>
    <w:rsid w:val="00564ED6"/>
    <w:rsid w:val="005776DF"/>
    <w:rsid w:val="005805A9"/>
    <w:rsid w:val="0059672B"/>
    <w:rsid w:val="005B29FF"/>
    <w:rsid w:val="005E3510"/>
    <w:rsid w:val="0060126E"/>
    <w:rsid w:val="0061025C"/>
    <w:rsid w:val="00620D25"/>
    <w:rsid w:val="00637F69"/>
    <w:rsid w:val="00694BC8"/>
    <w:rsid w:val="006A3B58"/>
    <w:rsid w:val="006A558D"/>
    <w:rsid w:val="006B5C40"/>
    <w:rsid w:val="006E7022"/>
    <w:rsid w:val="0075522F"/>
    <w:rsid w:val="007555C0"/>
    <w:rsid w:val="007733D9"/>
    <w:rsid w:val="007A266F"/>
    <w:rsid w:val="007B1DEB"/>
    <w:rsid w:val="007C1DEA"/>
    <w:rsid w:val="007C2A49"/>
    <w:rsid w:val="007E40B4"/>
    <w:rsid w:val="008010E1"/>
    <w:rsid w:val="0082625E"/>
    <w:rsid w:val="0087148E"/>
    <w:rsid w:val="0089786D"/>
    <w:rsid w:val="008A7008"/>
    <w:rsid w:val="008B0C2F"/>
    <w:rsid w:val="008F301F"/>
    <w:rsid w:val="008F773B"/>
    <w:rsid w:val="009078A4"/>
    <w:rsid w:val="0091720D"/>
    <w:rsid w:val="00923275"/>
    <w:rsid w:val="00924092"/>
    <w:rsid w:val="0093238D"/>
    <w:rsid w:val="00955E56"/>
    <w:rsid w:val="009565C4"/>
    <w:rsid w:val="009567A6"/>
    <w:rsid w:val="00971B41"/>
    <w:rsid w:val="00992957"/>
    <w:rsid w:val="009D1372"/>
    <w:rsid w:val="009D3186"/>
    <w:rsid w:val="009D5568"/>
    <w:rsid w:val="009D701E"/>
    <w:rsid w:val="009E0EB9"/>
    <w:rsid w:val="009F1308"/>
    <w:rsid w:val="009F512D"/>
    <w:rsid w:val="00A00398"/>
    <w:rsid w:val="00A0693E"/>
    <w:rsid w:val="00A53186"/>
    <w:rsid w:val="00A554DB"/>
    <w:rsid w:val="00AA46A2"/>
    <w:rsid w:val="00AA6AC1"/>
    <w:rsid w:val="00AB4359"/>
    <w:rsid w:val="00AD5168"/>
    <w:rsid w:val="00B05483"/>
    <w:rsid w:val="00B37DBD"/>
    <w:rsid w:val="00B43F34"/>
    <w:rsid w:val="00B54D71"/>
    <w:rsid w:val="00BB3633"/>
    <w:rsid w:val="00BB4879"/>
    <w:rsid w:val="00BB63B1"/>
    <w:rsid w:val="00BD5E69"/>
    <w:rsid w:val="00BE3D97"/>
    <w:rsid w:val="00C42CE3"/>
    <w:rsid w:val="00C46D06"/>
    <w:rsid w:val="00C75546"/>
    <w:rsid w:val="00C82B9E"/>
    <w:rsid w:val="00C958BE"/>
    <w:rsid w:val="00CA3B36"/>
    <w:rsid w:val="00CA7387"/>
    <w:rsid w:val="00CB3F4E"/>
    <w:rsid w:val="00CE6E8C"/>
    <w:rsid w:val="00D005A7"/>
    <w:rsid w:val="00D10E34"/>
    <w:rsid w:val="00D5412B"/>
    <w:rsid w:val="00D62A40"/>
    <w:rsid w:val="00D876E1"/>
    <w:rsid w:val="00DB699B"/>
    <w:rsid w:val="00DD06ED"/>
    <w:rsid w:val="00DF2BA7"/>
    <w:rsid w:val="00DF750F"/>
    <w:rsid w:val="00E16886"/>
    <w:rsid w:val="00E423EB"/>
    <w:rsid w:val="00E83C4E"/>
    <w:rsid w:val="00EB78FE"/>
    <w:rsid w:val="00EC2F2B"/>
    <w:rsid w:val="00ED2724"/>
    <w:rsid w:val="00F06F50"/>
    <w:rsid w:val="00F16FA1"/>
    <w:rsid w:val="00F279EF"/>
    <w:rsid w:val="00F30E44"/>
    <w:rsid w:val="00F35F9F"/>
    <w:rsid w:val="00F47054"/>
    <w:rsid w:val="00F655AE"/>
    <w:rsid w:val="00F82BF5"/>
    <w:rsid w:val="00F85425"/>
    <w:rsid w:val="00F864BB"/>
    <w:rsid w:val="00FD1E47"/>
    <w:rsid w:val="00FE5645"/>
    <w:rsid w:val="00FF0919"/>
    <w:rsid w:val="00FF25F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40296"/>
  <w15:docId w15:val="{1A25E972-DF33-774E-B811-2C2B1869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link w:val="Heading2Char"/>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3D97"/>
    <w:pPr>
      <w:tabs>
        <w:tab w:val="center" w:pos="4680"/>
        <w:tab w:val="right" w:pos="9360"/>
      </w:tabs>
    </w:pPr>
  </w:style>
  <w:style w:type="character" w:customStyle="1" w:styleId="HeaderChar">
    <w:name w:val="Header Char"/>
    <w:basedOn w:val="DefaultParagraphFont"/>
    <w:link w:val="Header"/>
    <w:uiPriority w:val="99"/>
    <w:rsid w:val="00BE3D97"/>
    <w:rPr>
      <w:rFonts w:ascii="Carlito" w:eastAsia="Carlito" w:hAnsi="Carlito" w:cs="Carlito"/>
    </w:rPr>
  </w:style>
  <w:style w:type="paragraph" w:styleId="Footer">
    <w:name w:val="footer"/>
    <w:basedOn w:val="Normal"/>
    <w:link w:val="FooterChar"/>
    <w:uiPriority w:val="99"/>
    <w:unhideWhenUsed/>
    <w:rsid w:val="00BE3D97"/>
    <w:pPr>
      <w:tabs>
        <w:tab w:val="center" w:pos="4680"/>
        <w:tab w:val="right" w:pos="9360"/>
      </w:tabs>
    </w:pPr>
  </w:style>
  <w:style w:type="character" w:customStyle="1" w:styleId="FooterChar">
    <w:name w:val="Footer Char"/>
    <w:basedOn w:val="DefaultParagraphFont"/>
    <w:link w:val="Footer"/>
    <w:uiPriority w:val="99"/>
    <w:rsid w:val="00BE3D97"/>
    <w:rPr>
      <w:rFonts w:ascii="Carlito" w:eastAsia="Carlito" w:hAnsi="Carlito" w:cs="Carlito"/>
    </w:rPr>
  </w:style>
  <w:style w:type="character" w:customStyle="1" w:styleId="Heading2Char">
    <w:name w:val="Heading 2 Char"/>
    <w:basedOn w:val="DefaultParagraphFont"/>
    <w:link w:val="Heading2"/>
    <w:uiPriority w:val="9"/>
    <w:rsid w:val="009F512D"/>
    <w:rPr>
      <w:rFonts w:ascii="Carlito" w:eastAsia="Carlito" w:hAnsi="Carlito" w:cs="Carlito"/>
      <w:b/>
      <w:bCs/>
    </w:rPr>
  </w:style>
  <w:style w:type="character" w:customStyle="1" w:styleId="BodyTextChar">
    <w:name w:val="Body Text Char"/>
    <w:basedOn w:val="DefaultParagraphFont"/>
    <w:link w:val="BodyText"/>
    <w:uiPriority w:val="1"/>
    <w:rsid w:val="004E2A7C"/>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9711">
      <w:bodyDiv w:val="1"/>
      <w:marLeft w:val="0"/>
      <w:marRight w:val="0"/>
      <w:marTop w:val="0"/>
      <w:marBottom w:val="0"/>
      <w:divBdr>
        <w:top w:val="none" w:sz="0" w:space="0" w:color="auto"/>
        <w:left w:val="none" w:sz="0" w:space="0" w:color="auto"/>
        <w:bottom w:val="none" w:sz="0" w:space="0" w:color="auto"/>
        <w:right w:val="none" w:sz="0" w:space="0" w:color="auto"/>
      </w:divBdr>
    </w:div>
    <w:div w:id="140385519">
      <w:bodyDiv w:val="1"/>
      <w:marLeft w:val="0"/>
      <w:marRight w:val="0"/>
      <w:marTop w:val="0"/>
      <w:marBottom w:val="0"/>
      <w:divBdr>
        <w:top w:val="none" w:sz="0" w:space="0" w:color="auto"/>
        <w:left w:val="none" w:sz="0" w:space="0" w:color="auto"/>
        <w:bottom w:val="none" w:sz="0" w:space="0" w:color="auto"/>
        <w:right w:val="none" w:sz="0" w:space="0" w:color="auto"/>
      </w:divBdr>
      <w:divsChild>
        <w:div w:id="778372937">
          <w:marLeft w:val="0"/>
          <w:marRight w:val="0"/>
          <w:marTop w:val="0"/>
          <w:marBottom w:val="0"/>
          <w:divBdr>
            <w:top w:val="none" w:sz="0" w:space="0" w:color="auto"/>
            <w:left w:val="none" w:sz="0" w:space="0" w:color="auto"/>
            <w:bottom w:val="none" w:sz="0" w:space="0" w:color="auto"/>
            <w:right w:val="none" w:sz="0" w:space="0" w:color="auto"/>
          </w:divBdr>
          <w:divsChild>
            <w:div w:id="10636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369">
      <w:bodyDiv w:val="1"/>
      <w:marLeft w:val="0"/>
      <w:marRight w:val="0"/>
      <w:marTop w:val="0"/>
      <w:marBottom w:val="0"/>
      <w:divBdr>
        <w:top w:val="none" w:sz="0" w:space="0" w:color="auto"/>
        <w:left w:val="none" w:sz="0" w:space="0" w:color="auto"/>
        <w:bottom w:val="none" w:sz="0" w:space="0" w:color="auto"/>
        <w:right w:val="none" w:sz="0" w:space="0" w:color="auto"/>
      </w:divBdr>
      <w:divsChild>
        <w:div w:id="1397702964">
          <w:marLeft w:val="0"/>
          <w:marRight w:val="0"/>
          <w:marTop w:val="0"/>
          <w:marBottom w:val="0"/>
          <w:divBdr>
            <w:top w:val="none" w:sz="0" w:space="0" w:color="auto"/>
            <w:left w:val="none" w:sz="0" w:space="0" w:color="auto"/>
            <w:bottom w:val="none" w:sz="0" w:space="0" w:color="auto"/>
            <w:right w:val="none" w:sz="0" w:space="0" w:color="auto"/>
          </w:divBdr>
          <w:divsChild>
            <w:div w:id="979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5276">
      <w:bodyDiv w:val="1"/>
      <w:marLeft w:val="0"/>
      <w:marRight w:val="0"/>
      <w:marTop w:val="0"/>
      <w:marBottom w:val="0"/>
      <w:divBdr>
        <w:top w:val="none" w:sz="0" w:space="0" w:color="auto"/>
        <w:left w:val="none" w:sz="0" w:space="0" w:color="auto"/>
        <w:bottom w:val="none" w:sz="0" w:space="0" w:color="auto"/>
        <w:right w:val="none" w:sz="0" w:space="0" w:color="auto"/>
      </w:divBdr>
    </w:div>
    <w:div w:id="432866634">
      <w:bodyDiv w:val="1"/>
      <w:marLeft w:val="0"/>
      <w:marRight w:val="0"/>
      <w:marTop w:val="0"/>
      <w:marBottom w:val="0"/>
      <w:divBdr>
        <w:top w:val="none" w:sz="0" w:space="0" w:color="auto"/>
        <w:left w:val="none" w:sz="0" w:space="0" w:color="auto"/>
        <w:bottom w:val="none" w:sz="0" w:space="0" w:color="auto"/>
        <w:right w:val="none" w:sz="0" w:space="0" w:color="auto"/>
      </w:divBdr>
    </w:div>
    <w:div w:id="576399442">
      <w:bodyDiv w:val="1"/>
      <w:marLeft w:val="0"/>
      <w:marRight w:val="0"/>
      <w:marTop w:val="0"/>
      <w:marBottom w:val="0"/>
      <w:divBdr>
        <w:top w:val="none" w:sz="0" w:space="0" w:color="auto"/>
        <w:left w:val="none" w:sz="0" w:space="0" w:color="auto"/>
        <w:bottom w:val="none" w:sz="0" w:space="0" w:color="auto"/>
        <w:right w:val="none" w:sz="0" w:space="0" w:color="auto"/>
      </w:divBdr>
    </w:div>
    <w:div w:id="878250221">
      <w:bodyDiv w:val="1"/>
      <w:marLeft w:val="0"/>
      <w:marRight w:val="0"/>
      <w:marTop w:val="0"/>
      <w:marBottom w:val="0"/>
      <w:divBdr>
        <w:top w:val="none" w:sz="0" w:space="0" w:color="auto"/>
        <w:left w:val="none" w:sz="0" w:space="0" w:color="auto"/>
        <w:bottom w:val="none" w:sz="0" w:space="0" w:color="auto"/>
        <w:right w:val="none" w:sz="0" w:space="0" w:color="auto"/>
      </w:divBdr>
    </w:div>
    <w:div w:id="1353846114">
      <w:bodyDiv w:val="1"/>
      <w:marLeft w:val="0"/>
      <w:marRight w:val="0"/>
      <w:marTop w:val="0"/>
      <w:marBottom w:val="0"/>
      <w:divBdr>
        <w:top w:val="none" w:sz="0" w:space="0" w:color="auto"/>
        <w:left w:val="none" w:sz="0" w:space="0" w:color="auto"/>
        <w:bottom w:val="none" w:sz="0" w:space="0" w:color="auto"/>
        <w:right w:val="none" w:sz="0" w:space="0" w:color="auto"/>
      </w:divBdr>
    </w:div>
    <w:div w:id="1374043251">
      <w:bodyDiv w:val="1"/>
      <w:marLeft w:val="0"/>
      <w:marRight w:val="0"/>
      <w:marTop w:val="0"/>
      <w:marBottom w:val="0"/>
      <w:divBdr>
        <w:top w:val="none" w:sz="0" w:space="0" w:color="auto"/>
        <w:left w:val="none" w:sz="0" w:space="0" w:color="auto"/>
        <w:bottom w:val="none" w:sz="0" w:space="0" w:color="auto"/>
        <w:right w:val="none" w:sz="0" w:space="0" w:color="auto"/>
      </w:divBdr>
    </w:div>
    <w:div w:id="1428230088">
      <w:bodyDiv w:val="1"/>
      <w:marLeft w:val="0"/>
      <w:marRight w:val="0"/>
      <w:marTop w:val="0"/>
      <w:marBottom w:val="0"/>
      <w:divBdr>
        <w:top w:val="none" w:sz="0" w:space="0" w:color="auto"/>
        <w:left w:val="none" w:sz="0" w:space="0" w:color="auto"/>
        <w:bottom w:val="none" w:sz="0" w:space="0" w:color="auto"/>
        <w:right w:val="none" w:sz="0" w:space="0" w:color="auto"/>
      </w:divBdr>
    </w:div>
    <w:div w:id="1552231601">
      <w:bodyDiv w:val="1"/>
      <w:marLeft w:val="0"/>
      <w:marRight w:val="0"/>
      <w:marTop w:val="0"/>
      <w:marBottom w:val="0"/>
      <w:divBdr>
        <w:top w:val="none" w:sz="0" w:space="0" w:color="auto"/>
        <w:left w:val="none" w:sz="0" w:space="0" w:color="auto"/>
        <w:bottom w:val="none" w:sz="0" w:space="0" w:color="auto"/>
        <w:right w:val="none" w:sz="0" w:space="0" w:color="auto"/>
      </w:divBdr>
      <w:divsChild>
        <w:div w:id="1509326589">
          <w:marLeft w:val="0"/>
          <w:marRight w:val="0"/>
          <w:marTop w:val="0"/>
          <w:marBottom w:val="0"/>
          <w:divBdr>
            <w:top w:val="none" w:sz="0" w:space="0" w:color="auto"/>
            <w:left w:val="none" w:sz="0" w:space="0" w:color="auto"/>
            <w:bottom w:val="none" w:sz="0" w:space="0" w:color="auto"/>
            <w:right w:val="none" w:sz="0" w:space="0" w:color="auto"/>
          </w:divBdr>
          <w:divsChild>
            <w:div w:id="17702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08778">
      <w:bodyDiv w:val="1"/>
      <w:marLeft w:val="0"/>
      <w:marRight w:val="0"/>
      <w:marTop w:val="0"/>
      <w:marBottom w:val="0"/>
      <w:divBdr>
        <w:top w:val="none" w:sz="0" w:space="0" w:color="auto"/>
        <w:left w:val="none" w:sz="0" w:space="0" w:color="auto"/>
        <w:bottom w:val="none" w:sz="0" w:space="0" w:color="auto"/>
        <w:right w:val="none" w:sz="0" w:space="0" w:color="auto"/>
      </w:divBdr>
    </w:div>
    <w:div w:id="1662000380">
      <w:bodyDiv w:val="1"/>
      <w:marLeft w:val="0"/>
      <w:marRight w:val="0"/>
      <w:marTop w:val="0"/>
      <w:marBottom w:val="0"/>
      <w:divBdr>
        <w:top w:val="none" w:sz="0" w:space="0" w:color="auto"/>
        <w:left w:val="none" w:sz="0" w:space="0" w:color="auto"/>
        <w:bottom w:val="none" w:sz="0" w:space="0" w:color="auto"/>
        <w:right w:val="none" w:sz="0" w:space="0" w:color="auto"/>
      </w:divBdr>
    </w:div>
    <w:div w:id="1964311092">
      <w:bodyDiv w:val="1"/>
      <w:marLeft w:val="0"/>
      <w:marRight w:val="0"/>
      <w:marTop w:val="0"/>
      <w:marBottom w:val="0"/>
      <w:divBdr>
        <w:top w:val="none" w:sz="0" w:space="0" w:color="auto"/>
        <w:left w:val="none" w:sz="0" w:space="0" w:color="auto"/>
        <w:bottom w:val="none" w:sz="0" w:space="0" w:color="auto"/>
        <w:right w:val="none" w:sz="0" w:space="0" w:color="auto"/>
      </w:divBdr>
      <w:divsChild>
        <w:div w:id="779448404">
          <w:marLeft w:val="0"/>
          <w:marRight w:val="0"/>
          <w:marTop w:val="0"/>
          <w:marBottom w:val="0"/>
          <w:divBdr>
            <w:top w:val="none" w:sz="0" w:space="0" w:color="auto"/>
            <w:left w:val="none" w:sz="0" w:space="0" w:color="auto"/>
            <w:bottom w:val="none" w:sz="0" w:space="0" w:color="auto"/>
            <w:right w:val="none" w:sz="0" w:space="0" w:color="auto"/>
          </w:divBdr>
          <w:divsChild>
            <w:div w:id="17117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vartis.com/us-en/sites/novartis_us/files/leqvio.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novartis.com/us-en/sites/novartis_us/files/leqvio.pdf" TargetMode="External"/><Relationship Id="rId4" Type="http://schemas.openxmlformats.org/officeDocument/2006/relationships/settings" Target="settings.xml"/><Relationship Id="rId9" Type="http://schemas.openxmlformats.org/officeDocument/2006/relationships/hyperlink" Target="https://www.novartis.com/us-en/sites/novartis_us/files/leqvio.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4E095-30E5-4844-8B53-1FDD99EF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5457</Characters>
  <Application>Microsoft Office Word</Application>
  <DocSecurity>0</DocSecurity>
  <Lines>135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Keating</dc:creator>
  <cp:lastModifiedBy>John Cassidy</cp:lastModifiedBy>
  <cp:revision>3</cp:revision>
  <cp:lastPrinted>2026-03-16T19:49:00Z</cp:lastPrinted>
  <dcterms:created xsi:type="dcterms:W3CDTF">2026-03-16T19:49:00Z</dcterms:created>
  <dcterms:modified xsi:type="dcterms:W3CDTF">2026-03-16T19:49:00Z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Microsoft Word</vt:lpwstr>
  </property>
  <property fmtid="{D5CDD505-2E9C-101B-9397-08002B2CF9AE}" pid="4" name="LastSaved">
    <vt:filetime>2023-07-07T00:00:00Z</vt:filetime>
  </property>
</Properties>
</file>